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78A09F" w14:textId="77777777" w:rsidR="006A3C90" w:rsidRPr="00370F80" w:rsidRDefault="00370F80" w:rsidP="00FD521C">
      <w:pPr>
        <w:pStyle w:val="a3"/>
        <w:jc w:val="center"/>
        <w:rPr>
          <w:lang w:val="en-US"/>
        </w:rPr>
      </w:pPr>
      <w:r>
        <w:rPr>
          <w:lang w:val="en-US"/>
        </w:rPr>
        <w:t>Corporate action notice/Insider information disclosure</w:t>
      </w:r>
    </w:p>
    <w:p w14:paraId="56B6D0AC" w14:textId="77777777" w:rsidR="006A3C90" w:rsidRPr="00370F80" w:rsidRDefault="00370F80" w:rsidP="00FD521C">
      <w:pPr>
        <w:pStyle w:val="a3"/>
        <w:jc w:val="center"/>
        <w:rPr>
          <w:lang w:val="en-US"/>
        </w:rPr>
      </w:pPr>
      <w:r>
        <w:rPr>
          <w:lang w:val="en-US"/>
        </w:rPr>
        <w:t>"Information on resolutions taken by the Board of Directors of IDGC of the South, PJSC"</w:t>
      </w:r>
    </w:p>
    <w:tbl>
      <w:tblPr>
        <w:tblStyle w:val="TableNormal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233"/>
        <w:gridCol w:w="912"/>
        <w:gridCol w:w="1304"/>
        <w:gridCol w:w="857"/>
        <w:gridCol w:w="1202"/>
        <w:gridCol w:w="1431"/>
        <w:gridCol w:w="2821"/>
      </w:tblGrid>
      <w:tr w:rsidR="006760E7" w14:paraId="7253A24D" w14:textId="77777777" w:rsidTr="00FD521C">
        <w:trPr>
          <w:trHeight w:val="20"/>
        </w:trPr>
        <w:tc>
          <w:tcPr>
            <w:tcW w:w="5000" w:type="pct"/>
            <w:gridSpan w:val="7"/>
          </w:tcPr>
          <w:p w14:paraId="3E703951" w14:textId="77777777" w:rsidR="006A3C90" w:rsidRDefault="00370F80" w:rsidP="006439AA">
            <w:pPr>
              <w:pStyle w:val="TableParagraph"/>
              <w:ind w:left="0"/>
              <w:jc w:val="center"/>
              <w:rPr>
                <w:sz w:val="24"/>
              </w:rPr>
            </w:pPr>
            <w:r>
              <w:rPr>
                <w:sz w:val="24"/>
                <w:lang w:val="en-US"/>
              </w:rPr>
              <w:t>1. General</w:t>
            </w:r>
          </w:p>
        </w:tc>
      </w:tr>
      <w:tr w:rsidR="006760E7" w:rsidRPr="00370F80" w14:paraId="54A4FB9C" w14:textId="77777777" w:rsidTr="00FD521C">
        <w:trPr>
          <w:trHeight w:val="20"/>
        </w:trPr>
        <w:tc>
          <w:tcPr>
            <w:tcW w:w="2206" w:type="pct"/>
            <w:gridSpan w:val="4"/>
          </w:tcPr>
          <w:p w14:paraId="0D8667ED" w14:textId="77777777" w:rsidR="006A3C90" w:rsidRPr="00370F80" w:rsidRDefault="00370F80" w:rsidP="00FD521C">
            <w:pPr>
              <w:pStyle w:val="TableParagraph"/>
              <w:ind w:left="0"/>
              <w:rPr>
                <w:sz w:val="24"/>
                <w:lang w:val="en-US"/>
              </w:rPr>
            </w:pPr>
            <w:r>
              <w:rPr>
                <w:sz w:val="24"/>
                <w:lang w:val="en-US"/>
              </w:rPr>
              <w:t>1.1. Full corporate name of the Issuer:</w:t>
            </w:r>
          </w:p>
        </w:tc>
        <w:tc>
          <w:tcPr>
            <w:tcW w:w="2794" w:type="pct"/>
            <w:gridSpan w:val="3"/>
          </w:tcPr>
          <w:p w14:paraId="784D9DA0" w14:textId="77777777" w:rsidR="006A3C90" w:rsidRPr="00370F80" w:rsidRDefault="00370F80" w:rsidP="00FD521C">
            <w:pPr>
              <w:pStyle w:val="TableParagraph"/>
              <w:tabs>
                <w:tab w:val="left" w:pos="2083"/>
                <w:tab w:val="left" w:pos="4194"/>
              </w:tabs>
              <w:ind w:left="0"/>
              <w:rPr>
                <w:b/>
                <w:sz w:val="24"/>
                <w:lang w:val="en-US"/>
              </w:rPr>
            </w:pPr>
            <w:r>
              <w:rPr>
                <w:b/>
                <w:sz w:val="24"/>
                <w:lang w:val="en-US"/>
              </w:rPr>
              <w:t xml:space="preserve">Public Joint Stock Company "Interregional </w:t>
            </w:r>
            <w:r>
              <w:rPr>
                <w:b/>
                <w:sz w:val="24"/>
                <w:lang w:val="en-US"/>
              </w:rPr>
              <w:t>Distribution Grid Company of the South”</w:t>
            </w:r>
          </w:p>
        </w:tc>
      </w:tr>
      <w:tr w:rsidR="006760E7" w:rsidRPr="00370F80" w14:paraId="4287A75B" w14:textId="77777777" w:rsidTr="00FD521C">
        <w:trPr>
          <w:trHeight w:val="20"/>
        </w:trPr>
        <w:tc>
          <w:tcPr>
            <w:tcW w:w="2206" w:type="pct"/>
            <w:gridSpan w:val="4"/>
          </w:tcPr>
          <w:p w14:paraId="58556C82" w14:textId="77777777" w:rsidR="006A3C90" w:rsidRPr="00370F80" w:rsidRDefault="00370F80" w:rsidP="00FD521C">
            <w:pPr>
              <w:pStyle w:val="TableParagraph"/>
              <w:tabs>
                <w:tab w:val="left" w:pos="2935"/>
              </w:tabs>
              <w:ind w:left="0"/>
              <w:rPr>
                <w:sz w:val="24"/>
                <w:lang w:val="en-US"/>
              </w:rPr>
            </w:pPr>
            <w:r>
              <w:rPr>
                <w:sz w:val="24"/>
                <w:lang w:val="en-US"/>
              </w:rPr>
              <w:t>1.2. Abbreviated corporate name of the Issuer:</w:t>
            </w:r>
          </w:p>
        </w:tc>
        <w:tc>
          <w:tcPr>
            <w:tcW w:w="2794" w:type="pct"/>
            <w:gridSpan w:val="3"/>
          </w:tcPr>
          <w:p w14:paraId="60309316" w14:textId="77777777" w:rsidR="006A3C90" w:rsidRPr="00370F80" w:rsidRDefault="00370F80" w:rsidP="00FD521C">
            <w:pPr>
              <w:pStyle w:val="TableParagraph"/>
              <w:ind w:left="0"/>
              <w:rPr>
                <w:b/>
                <w:sz w:val="24"/>
                <w:lang w:val="en-US"/>
              </w:rPr>
            </w:pPr>
            <w:r>
              <w:rPr>
                <w:b/>
                <w:sz w:val="24"/>
                <w:lang w:val="en-US"/>
              </w:rPr>
              <w:t>IDGC of the South, PJSC</w:t>
            </w:r>
          </w:p>
        </w:tc>
      </w:tr>
      <w:tr w:rsidR="006760E7" w:rsidRPr="00370F80" w14:paraId="27EF4B8B" w14:textId="77777777" w:rsidTr="00FD521C">
        <w:trPr>
          <w:trHeight w:val="20"/>
        </w:trPr>
        <w:tc>
          <w:tcPr>
            <w:tcW w:w="2206" w:type="pct"/>
            <w:gridSpan w:val="4"/>
          </w:tcPr>
          <w:p w14:paraId="692C2B44" w14:textId="77777777" w:rsidR="006A3C90" w:rsidRDefault="00370F80" w:rsidP="00FD521C">
            <w:pPr>
              <w:pStyle w:val="TableParagraph"/>
              <w:ind w:left="0"/>
              <w:rPr>
                <w:sz w:val="24"/>
              </w:rPr>
            </w:pPr>
            <w:r>
              <w:rPr>
                <w:sz w:val="24"/>
                <w:lang w:val="en-US"/>
              </w:rPr>
              <w:t>1.3. Location of the Issuer:</w:t>
            </w:r>
          </w:p>
        </w:tc>
        <w:tc>
          <w:tcPr>
            <w:tcW w:w="2794" w:type="pct"/>
            <w:gridSpan w:val="3"/>
          </w:tcPr>
          <w:p w14:paraId="5E84CE68" w14:textId="77777777" w:rsidR="006A3C90" w:rsidRPr="00370F80" w:rsidRDefault="00370F80" w:rsidP="00FD521C">
            <w:pPr>
              <w:pStyle w:val="TableParagraph"/>
              <w:ind w:left="0"/>
              <w:rPr>
                <w:b/>
                <w:sz w:val="24"/>
                <w:lang w:val="en-US"/>
              </w:rPr>
            </w:pPr>
            <w:r>
              <w:rPr>
                <w:b/>
                <w:sz w:val="24"/>
                <w:lang w:val="en-US"/>
              </w:rPr>
              <w:t>Rostov-on-Don, Russian Federation</w:t>
            </w:r>
          </w:p>
        </w:tc>
      </w:tr>
      <w:tr w:rsidR="006760E7" w14:paraId="66D78FB9" w14:textId="77777777" w:rsidTr="00FD521C">
        <w:trPr>
          <w:trHeight w:val="20"/>
        </w:trPr>
        <w:tc>
          <w:tcPr>
            <w:tcW w:w="2206" w:type="pct"/>
            <w:gridSpan w:val="4"/>
          </w:tcPr>
          <w:p w14:paraId="2231CC38" w14:textId="77777777" w:rsidR="006A3C90" w:rsidRDefault="00370F80" w:rsidP="00FD521C">
            <w:pPr>
              <w:pStyle w:val="TableParagraph"/>
              <w:ind w:left="0"/>
              <w:rPr>
                <w:sz w:val="24"/>
              </w:rPr>
            </w:pPr>
            <w:r>
              <w:rPr>
                <w:sz w:val="24"/>
                <w:lang w:val="en-US"/>
              </w:rPr>
              <w:t>1.4. OGRN of the Issuer:</w:t>
            </w:r>
          </w:p>
        </w:tc>
        <w:tc>
          <w:tcPr>
            <w:tcW w:w="2794" w:type="pct"/>
            <w:gridSpan w:val="3"/>
          </w:tcPr>
          <w:p w14:paraId="6B744713" w14:textId="77777777" w:rsidR="006A3C90" w:rsidRDefault="00370F80" w:rsidP="00FD521C">
            <w:pPr>
              <w:pStyle w:val="TableParagraph"/>
              <w:ind w:left="0"/>
              <w:rPr>
                <w:b/>
                <w:sz w:val="24"/>
              </w:rPr>
            </w:pPr>
            <w:r>
              <w:rPr>
                <w:b/>
                <w:sz w:val="24"/>
                <w:lang w:val="en-US"/>
              </w:rPr>
              <w:t>1076164009096</w:t>
            </w:r>
          </w:p>
        </w:tc>
      </w:tr>
      <w:tr w:rsidR="006760E7" w14:paraId="440ABB04" w14:textId="77777777" w:rsidTr="00FD521C">
        <w:trPr>
          <w:trHeight w:val="20"/>
        </w:trPr>
        <w:tc>
          <w:tcPr>
            <w:tcW w:w="2206" w:type="pct"/>
            <w:gridSpan w:val="4"/>
          </w:tcPr>
          <w:p w14:paraId="76B194BB" w14:textId="77777777" w:rsidR="006A3C90" w:rsidRDefault="00370F80" w:rsidP="00FD521C">
            <w:pPr>
              <w:pStyle w:val="TableParagraph"/>
              <w:ind w:left="0"/>
              <w:rPr>
                <w:sz w:val="24"/>
              </w:rPr>
            </w:pPr>
            <w:r>
              <w:rPr>
                <w:sz w:val="24"/>
                <w:lang w:val="en-US"/>
              </w:rPr>
              <w:t>1.5. TIN of the Issuer:</w:t>
            </w:r>
          </w:p>
        </w:tc>
        <w:tc>
          <w:tcPr>
            <w:tcW w:w="2794" w:type="pct"/>
            <w:gridSpan w:val="3"/>
          </w:tcPr>
          <w:p w14:paraId="15A3B2B0" w14:textId="77777777" w:rsidR="006A3C90" w:rsidRDefault="00370F80" w:rsidP="00FD521C">
            <w:pPr>
              <w:pStyle w:val="TableParagraph"/>
              <w:ind w:left="0"/>
              <w:rPr>
                <w:b/>
                <w:sz w:val="24"/>
              </w:rPr>
            </w:pPr>
            <w:r>
              <w:rPr>
                <w:b/>
                <w:sz w:val="24"/>
                <w:lang w:val="en-US"/>
              </w:rPr>
              <w:t>6164266561</w:t>
            </w:r>
          </w:p>
        </w:tc>
      </w:tr>
      <w:tr w:rsidR="006760E7" w14:paraId="3B31B82F" w14:textId="77777777" w:rsidTr="00FD521C">
        <w:trPr>
          <w:trHeight w:val="20"/>
        </w:trPr>
        <w:tc>
          <w:tcPr>
            <w:tcW w:w="2206" w:type="pct"/>
            <w:gridSpan w:val="4"/>
          </w:tcPr>
          <w:p w14:paraId="6AB56151" w14:textId="77777777" w:rsidR="006A3C90" w:rsidRPr="00370F80" w:rsidRDefault="00370F80" w:rsidP="00FD521C">
            <w:pPr>
              <w:pStyle w:val="TableParagraph"/>
              <w:tabs>
                <w:tab w:val="left" w:pos="2307"/>
                <w:tab w:val="left" w:pos="3086"/>
              </w:tabs>
              <w:ind w:left="0"/>
              <w:rPr>
                <w:sz w:val="24"/>
                <w:lang w:val="en-US"/>
              </w:rPr>
            </w:pPr>
            <w:r>
              <w:rPr>
                <w:sz w:val="24"/>
                <w:lang w:val="en-US"/>
              </w:rPr>
              <w:t>1.6. Unique code of the Issuer, assigned by the registering authority:</w:t>
            </w:r>
          </w:p>
        </w:tc>
        <w:tc>
          <w:tcPr>
            <w:tcW w:w="2794" w:type="pct"/>
            <w:gridSpan w:val="3"/>
            <w:vAlign w:val="center"/>
          </w:tcPr>
          <w:p w14:paraId="4B634A99" w14:textId="77777777" w:rsidR="006A3C90" w:rsidRDefault="00370F80" w:rsidP="00FD521C">
            <w:pPr>
              <w:pStyle w:val="TableParagraph"/>
              <w:ind w:left="0"/>
              <w:rPr>
                <w:b/>
                <w:sz w:val="24"/>
              </w:rPr>
            </w:pPr>
            <w:r>
              <w:rPr>
                <w:b/>
                <w:sz w:val="24"/>
                <w:lang w:val="en-US"/>
              </w:rPr>
              <w:t>34956-Е</w:t>
            </w:r>
          </w:p>
        </w:tc>
      </w:tr>
      <w:tr w:rsidR="006760E7" w14:paraId="0C558F4F" w14:textId="77777777" w:rsidTr="00FD521C">
        <w:trPr>
          <w:trHeight w:val="20"/>
        </w:trPr>
        <w:tc>
          <w:tcPr>
            <w:tcW w:w="2206" w:type="pct"/>
            <w:gridSpan w:val="4"/>
          </w:tcPr>
          <w:p w14:paraId="7D73AC6D" w14:textId="77777777" w:rsidR="006A3C90" w:rsidRPr="00370F80" w:rsidRDefault="00370F80" w:rsidP="00FD521C">
            <w:pPr>
              <w:pStyle w:val="TableParagraph"/>
              <w:tabs>
                <w:tab w:val="left" w:pos="2112"/>
                <w:tab w:val="left" w:pos="3727"/>
              </w:tabs>
              <w:ind w:left="0"/>
              <w:rPr>
                <w:sz w:val="24"/>
                <w:lang w:val="en-US"/>
              </w:rPr>
            </w:pPr>
            <w:r>
              <w:rPr>
                <w:sz w:val="24"/>
                <w:lang w:val="en-US"/>
              </w:rPr>
              <w:t>1.7. The address of the Internet page used by the Issuer for information disclosures</w:t>
            </w:r>
          </w:p>
        </w:tc>
        <w:tc>
          <w:tcPr>
            <w:tcW w:w="2794" w:type="pct"/>
            <w:gridSpan w:val="3"/>
            <w:vAlign w:val="center"/>
          </w:tcPr>
          <w:p w14:paraId="59AACB21" w14:textId="77777777" w:rsidR="00FD521C" w:rsidRPr="00FD521C" w:rsidRDefault="00370F80" w:rsidP="00FD521C">
            <w:pPr>
              <w:pStyle w:val="TableParagraph"/>
              <w:ind w:left="0"/>
              <w:rPr>
                <w:b/>
                <w:sz w:val="24"/>
                <w:u w:val="single"/>
              </w:rPr>
            </w:pPr>
            <w:hyperlink r:id="rId7" w:history="1">
              <w:r w:rsidRPr="00FD521C">
                <w:rPr>
                  <w:b/>
                  <w:sz w:val="24"/>
                  <w:u w:val="single"/>
                  <w:lang w:val="en-US"/>
                </w:rPr>
                <w:t>http</w:t>
              </w:r>
              <w:r w:rsidRPr="00370F80">
                <w:rPr>
                  <w:b/>
                  <w:sz w:val="24"/>
                  <w:u w:val="single"/>
                </w:rPr>
                <w:t>://</w:t>
              </w:r>
              <w:r w:rsidRPr="00FD521C">
                <w:rPr>
                  <w:b/>
                  <w:sz w:val="24"/>
                  <w:u w:val="single"/>
                  <w:lang w:val="en-US"/>
                </w:rPr>
                <w:t>www</w:t>
              </w:r>
              <w:r w:rsidRPr="00370F80">
                <w:rPr>
                  <w:b/>
                  <w:sz w:val="24"/>
                  <w:u w:val="single"/>
                </w:rPr>
                <w:t>.</w:t>
              </w:r>
              <w:r w:rsidRPr="00FD521C">
                <w:rPr>
                  <w:b/>
                  <w:sz w:val="24"/>
                  <w:u w:val="single"/>
                  <w:lang w:val="en-US"/>
                </w:rPr>
                <w:t>mrsk</w:t>
              </w:r>
              <w:r w:rsidRPr="00370F80">
                <w:rPr>
                  <w:b/>
                  <w:sz w:val="24"/>
                  <w:u w:val="single"/>
                </w:rPr>
                <w:t>-</w:t>
              </w:r>
              <w:r w:rsidRPr="00FD521C">
                <w:rPr>
                  <w:b/>
                  <w:sz w:val="24"/>
                  <w:u w:val="single"/>
                  <w:lang w:val="en-US"/>
                </w:rPr>
                <w:t>yuga</w:t>
              </w:r>
              <w:r w:rsidRPr="00370F80">
                <w:rPr>
                  <w:b/>
                  <w:sz w:val="24"/>
                  <w:u w:val="single"/>
                </w:rPr>
                <w:t>.</w:t>
              </w:r>
              <w:r w:rsidRPr="00FD521C">
                <w:rPr>
                  <w:b/>
                  <w:sz w:val="24"/>
                  <w:u w:val="single"/>
                  <w:lang w:val="en-US"/>
                </w:rPr>
                <w:t>ru</w:t>
              </w:r>
            </w:hyperlink>
          </w:p>
          <w:p w14:paraId="083FA2CF" w14:textId="77777777" w:rsidR="006A3C90" w:rsidRPr="00FD521C" w:rsidRDefault="00370F80" w:rsidP="00FD521C">
            <w:pPr>
              <w:pStyle w:val="TableParagraph"/>
              <w:ind w:left="0"/>
              <w:rPr>
                <w:b/>
                <w:sz w:val="24"/>
              </w:rPr>
            </w:pPr>
            <w:hyperlink r:id="rId8" w:history="1">
              <w:r w:rsidRPr="00FD521C">
                <w:rPr>
                  <w:b/>
                  <w:sz w:val="24"/>
                  <w:u w:val="single"/>
                  <w:lang w:val="en-US"/>
                </w:rPr>
                <w:t>http</w:t>
              </w:r>
              <w:r w:rsidRPr="00370F80">
                <w:rPr>
                  <w:b/>
                  <w:sz w:val="24"/>
                  <w:u w:val="single"/>
                </w:rPr>
                <w:t>://</w:t>
              </w:r>
              <w:r w:rsidRPr="00FD521C">
                <w:rPr>
                  <w:b/>
                  <w:sz w:val="24"/>
                  <w:u w:val="single"/>
                  <w:lang w:val="en-US"/>
                </w:rPr>
                <w:t>www</w:t>
              </w:r>
              <w:r w:rsidRPr="00370F80">
                <w:rPr>
                  <w:b/>
                  <w:sz w:val="24"/>
                  <w:u w:val="single"/>
                </w:rPr>
                <w:t>.</w:t>
              </w:r>
              <w:r w:rsidRPr="00FD521C">
                <w:rPr>
                  <w:b/>
                  <w:sz w:val="24"/>
                  <w:u w:val="single"/>
                  <w:lang w:val="en-US"/>
                </w:rPr>
                <w:t>e</w:t>
              </w:r>
              <w:r w:rsidRPr="00370F80">
                <w:rPr>
                  <w:b/>
                  <w:sz w:val="24"/>
                  <w:u w:val="single"/>
                </w:rPr>
                <w:t>-</w:t>
              </w:r>
            </w:hyperlink>
            <w:hyperlink r:id="rId9" w:history="1">
              <w:r w:rsidRPr="00FD521C">
                <w:rPr>
                  <w:b/>
                  <w:sz w:val="24"/>
                  <w:u w:val="single"/>
                  <w:lang w:val="en-US"/>
                </w:rPr>
                <w:t>disclosure</w:t>
              </w:r>
              <w:r w:rsidRPr="00370F80">
                <w:rPr>
                  <w:b/>
                  <w:sz w:val="24"/>
                  <w:u w:val="single"/>
                </w:rPr>
                <w:t>.</w:t>
              </w:r>
              <w:r w:rsidRPr="00FD521C">
                <w:rPr>
                  <w:b/>
                  <w:sz w:val="24"/>
                  <w:u w:val="single"/>
                  <w:lang w:val="en-US"/>
                </w:rPr>
                <w:t>ru</w:t>
              </w:r>
              <w:r w:rsidRPr="00370F80">
                <w:rPr>
                  <w:b/>
                  <w:sz w:val="24"/>
                  <w:u w:val="single"/>
                </w:rPr>
                <w:t>/</w:t>
              </w:r>
              <w:r w:rsidRPr="00FD521C">
                <w:rPr>
                  <w:b/>
                  <w:sz w:val="24"/>
                  <w:u w:val="single"/>
                  <w:lang w:val="en-US"/>
                </w:rPr>
                <w:t>portal</w:t>
              </w:r>
              <w:r w:rsidRPr="00370F80">
                <w:rPr>
                  <w:b/>
                  <w:sz w:val="24"/>
                  <w:u w:val="single"/>
                </w:rPr>
                <w:t>/</w:t>
              </w:r>
              <w:r w:rsidRPr="00FD521C">
                <w:rPr>
                  <w:b/>
                  <w:sz w:val="24"/>
                  <w:u w:val="single"/>
                  <w:lang w:val="en-US"/>
                </w:rPr>
                <w:t>company</w:t>
              </w:r>
              <w:r w:rsidRPr="00370F80">
                <w:rPr>
                  <w:b/>
                  <w:sz w:val="24"/>
                  <w:u w:val="single"/>
                </w:rPr>
                <w:t>.</w:t>
              </w:r>
              <w:r w:rsidRPr="00FD521C">
                <w:rPr>
                  <w:b/>
                  <w:sz w:val="24"/>
                  <w:u w:val="single"/>
                  <w:lang w:val="en-US"/>
                </w:rPr>
                <w:t>aspx</w:t>
              </w:r>
              <w:r w:rsidRPr="00370F80">
                <w:rPr>
                  <w:b/>
                  <w:sz w:val="24"/>
                  <w:u w:val="single"/>
                </w:rPr>
                <w:t>?</w:t>
              </w:r>
              <w:r w:rsidRPr="00FD521C">
                <w:rPr>
                  <w:b/>
                  <w:sz w:val="24"/>
                  <w:u w:val="single"/>
                  <w:lang w:val="en-US"/>
                </w:rPr>
                <w:t>id</w:t>
              </w:r>
              <w:r w:rsidRPr="00370F80">
                <w:rPr>
                  <w:b/>
                  <w:sz w:val="24"/>
                  <w:u w:val="single"/>
                </w:rPr>
                <w:t>=11999</w:t>
              </w:r>
            </w:hyperlink>
          </w:p>
        </w:tc>
      </w:tr>
      <w:tr w:rsidR="006760E7" w14:paraId="5A9D27DA" w14:textId="77777777" w:rsidTr="00FD521C">
        <w:trPr>
          <w:trHeight w:val="20"/>
        </w:trPr>
        <w:tc>
          <w:tcPr>
            <w:tcW w:w="2206" w:type="pct"/>
            <w:gridSpan w:val="4"/>
          </w:tcPr>
          <w:p w14:paraId="49676E57" w14:textId="77777777" w:rsidR="006A3C90" w:rsidRPr="00370F80" w:rsidRDefault="00370F80" w:rsidP="00FD521C">
            <w:pPr>
              <w:pStyle w:val="TableParagraph"/>
              <w:ind w:left="0"/>
              <w:jc w:val="both"/>
              <w:rPr>
                <w:sz w:val="24"/>
                <w:lang w:val="en-US"/>
              </w:rPr>
            </w:pPr>
            <w:r>
              <w:rPr>
                <w:sz w:val="24"/>
                <w:lang w:val="en-US"/>
              </w:rPr>
              <w:t>1.8. Event effective date (m</w:t>
            </w:r>
            <w:r>
              <w:rPr>
                <w:sz w:val="24"/>
                <w:lang w:val="en-US"/>
              </w:rPr>
              <w:t>aterial fact) of which the message is composed (if applicable):</w:t>
            </w:r>
          </w:p>
        </w:tc>
        <w:tc>
          <w:tcPr>
            <w:tcW w:w="2794" w:type="pct"/>
            <w:gridSpan w:val="3"/>
            <w:vAlign w:val="center"/>
          </w:tcPr>
          <w:p w14:paraId="2000D2A1" w14:textId="77777777" w:rsidR="006A3C90" w:rsidRDefault="00370F80" w:rsidP="00FD521C">
            <w:pPr>
              <w:pStyle w:val="TableParagraph"/>
              <w:ind w:left="0"/>
              <w:rPr>
                <w:b/>
                <w:sz w:val="24"/>
              </w:rPr>
            </w:pPr>
            <w:r>
              <w:rPr>
                <w:b/>
                <w:sz w:val="24"/>
                <w:lang w:val="en-US"/>
              </w:rPr>
              <w:t>March 25, 2019</w:t>
            </w:r>
          </w:p>
        </w:tc>
      </w:tr>
      <w:tr w:rsidR="006760E7" w14:paraId="04E80861" w14:textId="77777777" w:rsidTr="00FD521C">
        <w:trPr>
          <w:trHeight w:val="20"/>
        </w:trPr>
        <w:tc>
          <w:tcPr>
            <w:tcW w:w="5000" w:type="pct"/>
            <w:gridSpan w:val="7"/>
          </w:tcPr>
          <w:p w14:paraId="5A0ECD54" w14:textId="77777777" w:rsidR="006A3C90" w:rsidRDefault="00370F80" w:rsidP="006439AA">
            <w:pPr>
              <w:pStyle w:val="TableParagraph"/>
              <w:ind w:left="0"/>
              <w:jc w:val="center"/>
              <w:rPr>
                <w:sz w:val="24"/>
              </w:rPr>
            </w:pPr>
            <w:r>
              <w:rPr>
                <w:sz w:val="24"/>
                <w:lang w:val="en-US"/>
              </w:rPr>
              <w:t>2. Notice content</w:t>
            </w:r>
          </w:p>
        </w:tc>
      </w:tr>
      <w:tr w:rsidR="006760E7" w14:paraId="41D60AD5" w14:textId="77777777" w:rsidTr="00FD521C">
        <w:trPr>
          <w:trHeight w:val="20"/>
        </w:trPr>
        <w:tc>
          <w:tcPr>
            <w:tcW w:w="5000" w:type="pct"/>
            <w:gridSpan w:val="7"/>
          </w:tcPr>
          <w:p w14:paraId="54962430" w14:textId="77777777" w:rsidR="00FD521C" w:rsidRPr="00370F80" w:rsidRDefault="00370F80" w:rsidP="00FD521C">
            <w:pPr>
              <w:pStyle w:val="TableParagraph"/>
              <w:ind w:left="0"/>
              <w:jc w:val="both"/>
              <w:rPr>
                <w:b/>
                <w:i/>
                <w:sz w:val="24"/>
                <w:lang w:val="en-US"/>
              </w:rPr>
            </w:pPr>
            <w:r>
              <w:rPr>
                <w:sz w:val="24"/>
                <w:lang w:val="en-US"/>
              </w:rPr>
              <w:t xml:space="preserve">2.1. Quorum for a meeting of the Issuer's Board of Directors and the results of voting on decision-making issues: </w:t>
            </w:r>
            <w:r>
              <w:rPr>
                <w:b/>
                <w:i/>
                <w:sz w:val="24"/>
                <w:lang w:val="en-US"/>
              </w:rPr>
              <w:t>11 out of 11 members of the Board of Directors participated in the meeting, a quorum is present.</w:t>
            </w:r>
          </w:p>
          <w:p w14:paraId="1EF7330F" w14:textId="77777777" w:rsidR="00FD521C" w:rsidRPr="00370F80" w:rsidRDefault="00370F80" w:rsidP="00FD521C">
            <w:pPr>
              <w:pStyle w:val="TableParagraph"/>
              <w:ind w:left="0"/>
              <w:rPr>
                <w:b/>
                <w:lang w:val="en-US"/>
              </w:rPr>
            </w:pPr>
          </w:p>
          <w:p w14:paraId="0C6E9654" w14:textId="77777777" w:rsidR="00FD521C" w:rsidRPr="00370F80" w:rsidRDefault="00370F80" w:rsidP="00FD521C">
            <w:pPr>
              <w:pStyle w:val="TableParagraph"/>
              <w:ind w:left="0"/>
              <w:jc w:val="both"/>
              <w:rPr>
                <w:sz w:val="24"/>
                <w:lang w:val="en-US"/>
              </w:rPr>
            </w:pPr>
            <w:r>
              <w:rPr>
                <w:sz w:val="24"/>
                <w:lang w:val="en-US"/>
              </w:rPr>
              <w:t>Voting results:</w:t>
            </w:r>
          </w:p>
          <w:p w14:paraId="0989B9C2" w14:textId="77777777" w:rsidR="00FD521C" w:rsidRPr="00370F80" w:rsidRDefault="00370F80" w:rsidP="00FD521C">
            <w:pPr>
              <w:pStyle w:val="TableParagraph"/>
              <w:ind w:left="0"/>
              <w:jc w:val="both"/>
              <w:rPr>
                <w:sz w:val="24"/>
                <w:lang w:val="en-US"/>
              </w:rPr>
            </w:pPr>
            <w:r>
              <w:rPr>
                <w:b/>
                <w:sz w:val="24"/>
                <w:lang w:val="en-US"/>
              </w:rPr>
              <w:t xml:space="preserve">on issue No. 1 of the </w:t>
            </w:r>
            <w:r>
              <w:rPr>
                <w:sz w:val="24"/>
                <w:lang w:val="en-US"/>
              </w:rPr>
              <w:t>agenda:</w:t>
            </w:r>
          </w:p>
          <w:p w14:paraId="03A80585" w14:textId="77777777" w:rsidR="00FD521C" w:rsidRPr="00370F80" w:rsidRDefault="00370F80" w:rsidP="00FD521C">
            <w:pPr>
              <w:pStyle w:val="TableParagraph"/>
              <w:ind w:left="0"/>
              <w:jc w:val="both"/>
              <w:rPr>
                <w:sz w:val="24"/>
                <w:lang w:val="en-US"/>
              </w:rPr>
            </w:pPr>
            <w:r>
              <w:rPr>
                <w:sz w:val="24"/>
                <w:lang w:val="en-US"/>
              </w:rPr>
              <w:t>"PRO" is 10 votes;</w:t>
            </w:r>
          </w:p>
          <w:p w14:paraId="5FE88213" w14:textId="77777777" w:rsidR="00FD521C" w:rsidRPr="00370F80" w:rsidRDefault="00370F80" w:rsidP="00FD521C">
            <w:pPr>
              <w:pStyle w:val="TableParagraph"/>
              <w:ind w:left="0"/>
              <w:jc w:val="both"/>
              <w:rPr>
                <w:sz w:val="24"/>
                <w:lang w:val="en-US"/>
              </w:rPr>
            </w:pPr>
            <w:r>
              <w:rPr>
                <w:sz w:val="24"/>
                <w:lang w:val="en-US"/>
              </w:rPr>
              <w:t>"CON" is 1 vote;</w:t>
            </w:r>
          </w:p>
          <w:p w14:paraId="75D30D08" w14:textId="77777777" w:rsidR="00FD521C" w:rsidRPr="00370F80" w:rsidRDefault="00370F80" w:rsidP="00FD521C">
            <w:pPr>
              <w:pStyle w:val="TableParagraph"/>
              <w:ind w:left="0"/>
              <w:jc w:val="both"/>
              <w:rPr>
                <w:sz w:val="24"/>
                <w:lang w:val="en-US"/>
              </w:rPr>
            </w:pPr>
            <w:r>
              <w:rPr>
                <w:sz w:val="24"/>
                <w:lang w:val="en-US"/>
              </w:rPr>
              <w:t>"ABSTAIN" is 0 vote;</w:t>
            </w:r>
          </w:p>
          <w:p w14:paraId="3CA7EEF5" w14:textId="77777777" w:rsidR="00FD521C" w:rsidRPr="00370F80" w:rsidRDefault="00370F80" w:rsidP="00FD521C">
            <w:pPr>
              <w:pStyle w:val="TableParagraph"/>
              <w:ind w:left="0"/>
              <w:rPr>
                <w:b/>
                <w:sz w:val="24"/>
                <w:lang w:val="en-US"/>
              </w:rPr>
            </w:pPr>
          </w:p>
          <w:p w14:paraId="1186FB02" w14:textId="77777777" w:rsidR="00FD521C" w:rsidRPr="00370F80" w:rsidRDefault="00370F80" w:rsidP="00FD521C">
            <w:pPr>
              <w:pStyle w:val="TableParagraph"/>
              <w:ind w:left="0"/>
              <w:jc w:val="both"/>
              <w:rPr>
                <w:sz w:val="24"/>
                <w:lang w:val="en-US"/>
              </w:rPr>
            </w:pPr>
            <w:r>
              <w:rPr>
                <w:b/>
                <w:sz w:val="24"/>
                <w:lang w:val="en-US"/>
              </w:rPr>
              <w:t xml:space="preserve">on issue No. 2 of the </w:t>
            </w:r>
            <w:r>
              <w:rPr>
                <w:sz w:val="24"/>
                <w:lang w:val="en-US"/>
              </w:rPr>
              <w:t>agenda:</w:t>
            </w:r>
          </w:p>
          <w:p w14:paraId="02583294" w14:textId="77777777" w:rsidR="00FD521C" w:rsidRPr="00370F80" w:rsidRDefault="00370F80" w:rsidP="00FD521C">
            <w:pPr>
              <w:pStyle w:val="TableParagraph"/>
              <w:ind w:left="0"/>
              <w:jc w:val="both"/>
              <w:rPr>
                <w:sz w:val="24"/>
                <w:lang w:val="en-US"/>
              </w:rPr>
            </w:pPr>
            <w:r>
              <w:rPr>
                <w:sz w:val="24"/>
                <w:lang w:val="en-US"/>
              </w:rPr>
              <w:t>"PRO" is 10 votes;</w:t>
            </w:r>
          </w:p>
          <w:p w14:paraId="0C9909BF" w14:textId="77777777" w:rsidR="00FD521C" w:rsidRPr="00370F80" w:rsidRDefault="00370F80" w:rsidP="00FD521C">
            <w:pPr>
              <w:pStyle w:val="TableParagraph"/>
              <w:ind w:left="0"/>
              <w:jc w:val="both"/>
              <w:rPr>
                <w:sz w:val="24"/>
                <w:lang w:val="en-US"/>
              </w:rPr>
            </w:pPr>
            <w:r>
              <w:rPr>
                <w:sz w:val="24"/>
                <w:lang w:val="en-US"/>
              </w:rPr>
              <w:t>"CON" is 1 vote;</w:t>
            </w:r>
          </w:p>
          <w:p w14:paraId="66179DC8" w14:textId="77777777" w:rsidR="00FD521C" w:rsidRPr="00370F80" w:rsidRDefault="00370F80" w:rsidP="00FD521C">
            <w:pPr>
              <w:pStyle w:val="TableParagraph"/>
              <w:ind w:left="0"/>
              <w:jc w:val="both"/>
              <w:rPr>
                <w:sz w:val="24"/>
                <w:lang w:val="en-US"/>
              </w:rPr>
            </w:pPr>
            <w:r>
              <w:rPr>
                <w:sz w:val="24"/>
                <w:lang w:val="en-US"/>
              </w:rPr>
              <w:t>"ABSTAIN" is 0 votes;</w:t>
            </w:r>
          </w:p>
          <w:p w14:paraId="330CF7BC" w14:textId="77777777" w:rsidR="00FD521C" w:rsidRPr="00370F80" w:rsidRDefault="00370F80" w:rsidP="00FD521C">
            <w:pPr>
              <w:pStyle w:val="TableParagraph"/>
              <w:ind w:left="0"/>
              <w:rPr>
                <w:b/>
                <w:sz w:val="24"/>
                <w:lang w:val="en-US"/>
              </w:rPr>
            </w:pPr>
          </w:p>
          <w:p w14:paraId="1388BC0B" w14:textId="77777777" w:rsidR="00FD521C" w:rsidRPr="00370F80" w:rsidRDefault="00370F80" w:rsidP="00FD521C">
            <w:pPr>
              <w:pStyle w:val="TableParagraph"/>
              <w:ind w:left="0"/>
              <w:jc w:val="both"/>
              <w:rPr>
                <w:sz w:val="24"/>
                <w:lang w:val="en-US"/>
              </w:rPr>
            </w:pPr>
            <w:r>
              <w:rPr>
                <w:b/>
                <w:sz w:val="24"/>
                <w:lang w:val="en-US"/>
              </w:rPr>
              <w:t xml:space="preserve">on issue No. 3 of the </w:t>
            </w:r>
            <w:r>
              <w:rPr>
                <w:sz w:val="24"/>
                <w:lang w:val="en-US"/>
              </w:rPr>
              <w:t>agenda:</w:t>
            </w:r>
          </w:p>
          <w:p w14:paraId="7FA2B62D" w14:textId="77777777" w:rsidR="00FD521C" w:rsidRPr="00370F80" w:rsidRDefault="00370F80" w:rsidP="00FD521C">
            <w:pPr>
              <w:pStyle w:val="TableParagraph"/>
              <w:ind w:left="0"/>
              <w:jc w:val="both"/>
              <w:rPr>
                <w:sz w:val="24"/>
                <w:lang w:val="en-US"/>
              </w:rPr>
            </w:pPr>
            <w:r>
              <w:rPr>
                <w:sz w:val="24"/>
                <w:lang w:val="en-US"/>
              </w:rPr>
              <w:t>"PRO" is 10 votes;</w:t>
            </w:r>
          </w:p>
          <w:p w14:paraId="2033E7CB" w14:textId="77777777" w:rsidR="00FD521C" w:rsidRPr="00370F80" w:rsidRDefault="00370F80" w:rsidP="00FD521C">
            <w:pPr>
              <w:pStyle w:val="TableParagraph"/>
              <w:ind w:left="0"/>
              <w:jc w:val="both"/>
              <w:rPr>
                <w:sz w:val="24"/>
                <w:lang w:val="en-US"/>
              </w:rPr>
            </w:pPr>
            <w:r>
              <w:rPr>
                <w:sz w:val="24"/>
                <w:lang w:val="en-US"/>
              </w:rPr>
              <w:t>"CON" is 0 votes;</w:t>
            </w:r>
          </w:p>
          <w:p w14:paraId="02500B93" w14:textId="77777777" w:rsidR="00FD521C" w:rsidRPr="00370F80" w:rsidRDefault="00370F80" w:rsidP="00FD521C">
            <w:pPr>
              <w:pStyle w:val="TableParagraph"/>
              <w:ind w:left="0"/>
              <w:jc w:val="both"/>
              <w:rPr>
                <w:sz w:val="24"/>
                <w:lang w:val="en-US"/>
              </w:rPr>
            </w:pPr>
            <w:r>
              <w:rPr>
                <w:sz w:val="24"/>
                <w:lang w:val="en-US"/>
              </w:rPr>
              <w:t>"ABSTAIN" is</w:t>
            </w:r>
            <w:r>
              <w:rPr>
                <w:sz w:val="24"/>
                <w:lang w:val="en-US"/>
              </w:rPr>
              <w:t xml:space="preserve"> 1 vote.</w:t>
            </w:r>
          </w:p>
          <w:p w14:paraId="53D8BC0D" w14:textId="77777777" w:rsidR="00FD521C" w:rsidRPr="00370F80" w:rsidRDefault="00370F80" w:rsidP="00FD521C">
            <w:pPr>
              <w:pStyle w:val="TableParagraph"/>
              <w:ind w:left="0"/>
              <w:rPr>
                <w:b/>
                <w:sz w:val="24"/>
                <w:lang w:val="en-US"/>
              </w:rPr>
            </w:pPr>
          </w:p>
          <w:p w14:paraId="3CB31AAA" w14:textId="77777777" w:rsidR="00FD521C" w:rsidRPr="00370F80" w:rsidRDefault="00370F80" w:rsidP="00FD521C">
            <w:pPr>
              <w:pStyle w:val="TableParagraph"/>
              <w:ind w:left="0"/>
              <w:jc w:val="both"/>
              <w:rPr>
                <w:sz w:val="24"/>
                <w:lang w:val="en-US"/>
              </w:rPr>
            </w:pPr>
            <w:r>
              <w:rPr>
                <w:b/>
                <w:sz w:val="24"/>
                <w:lang w:val="en-US"/>
              </w:rPr>
              <w:t xml:space="preserve">on issue No. 4 of the </w:t>
            </w:r>
            <w:r>
              <w:rPr>
                <w:sz w:val="24"/>
                <w:lang w:val="en-US"/>
              </w:rPr>
              <w:t>agenda:</w:t>
            </w:r>
          </w:p>
          <w:p w14:paraId="3E12B15E" w14:textId="77777777" w:rsidR="00FD521C" w:rsidRPr="00370F80" w:rsidRDefault="00370F80" w:rsidP="00FD521C">
            <w:pPr>
              <w:pStyle w:val="TableParagraph"/>
              <w:ind w:left="0"/>
              <w:jc w:val="both"/>
              <w:rPr>
                <w:sz w:val="24"/>
                <w:lang w:val="en-US"/>
              </w:rPr>
            </w:pPr>
            <w:r>
              <w:rPr>
                <w:sz w:val="24"/>
                <w:lang w:val="en-US"/>
              </w:rPr>
              <w:t>"PRO" is 10 votes;</w:t>
            </w:r>
          </w:p>
          <w:p w14:paraId="6E2B332B" w14:textId="77777777" w:rsidR="00FD521C" w:rsidRPr="00370F80" w:rsidRDefault="00370F80" w:rsidP="00FD521C">
            <w:pPr>
              <w:pStyle w:val="TableParagraph"/>
              <w:ind w:left="0"/>
              <w:jc w:val="both"/>
              <w:rPr>
                <w:sz w:val="24"/>
                <w:lang w:val="en-US"/>
              </w:rPr>
            </w:pPr>
            <w:r>
              <w:rPr>
                <w:sz w:val="24"/>
                <w:lang w:val="en-US"/>
              </w:rPr>
              <w:t>"CON" is 0 votes;</w:t>
            </w:r>
          </w:p>
          <w:p w14:paraId="0A56F887" w14:textId="77777777" w:rsidR="00FD521C" w:rsidRPr="00370F80" w:rsidRDefault="00370F80" w:rsidP="00FD521C">
            <w:pPr>
              <w:pStyle w:val="TableParagraph"/>
              <w:ind w:left="0"/>
              <w:jc w:val="both"/>
              <w:rPr>
                <w:sz w:val="24"/>
                <w:lang w:val="en-US"/>
              </w:rPr>
            </w:pPr>
            <w:r>
              <w:rPr>
                <w:sz w:val="24"/>
                <w:lang w:val="en-US"/>
              </w:rPr>
              <w:t>"ABSTAIN" is 1 vote.</w:t>
            </w:r>
          </w:p>
          <w:p w14:paraId="458908EB" w14:textId="77777777" w:rsidR="00FD521C" w:rsidRPr="00370F80" w:rsidRDefault="00370F80" w:rsidP="00FD521C">
            <w:pPr>
              <w:pStyle w:val="TableParagraph"/>
              <w:ind w:left="0"/>
              <w:rPr>
                <w:b/>
                <w:sz w:val="24"/>
                <w:lang w:val="en-US"/>
              </w:rPr>
            </w:pPr>
          </w:p>
          <w:p w14:paraId="3527E9DA" w14:textId="77777777" w:rsidR="00FD521C" w:rsidRPr="00370F80" w:rsidRDefault="00370F80" w:rsidP="00FD521C">
            <w:pPr>
              <w:pStyle w:val="TableParagraph"/>
              <w:ind w:left="0"/>
              <w:jc w:val="both"/>
              <w:rPr>
                <w:sz w:val="24"/>
                <w:lang w:val="en-US"/>
              </w:rPr>
            </w:pPr>
            <w:r>
              <w:rPr>
                <w:b/>
                <w:sz w:val="24"/>
                <w:lang w:val="en-US"/>
              </w:rPr>
              <w:t xml:space="preserve">on issue No. 5 of the </w:t>
            </w:r>
            <w:r>
              <w:rPr>
                <w:sz w:val="24"/>
                <w:lang w:val="en-US"/>
              </w:rPr>
              <w:t>agenda:</w:t>
            </w:r>
          </w:p>
          <w:p w14:paraId="574318CD" w14:textId="77777777" w:rsidR="00FD521C" w:rsidRPr="00370F80" w:rsidRDefault="00370F80" w:rsidP="00FD521C">
            <w:pPr>
              <w:pStyle w:val="TableParagraph"/>
              <w:ind w:left="0"/>
              <w:jc w:val="both"/>
              <w:rPr>
                <w:sz w:val="24"/>
                <w:lang w:val="en-US"/>
              </w:rPr>
            </w:pPr>
            <w:r>
              <w:rPr>
                <w:sz w:val="24"/>
                <w:lang w:val="en-US"/>
              </w:rPr>
              <w:t>"PRO" is 10 votes;</w:t>
            </w:r>
          </w:p>
          <w:p w14:paraId="441B4AB0" w14:textId="77777777" w:rsidR="00FD521C" w:rsidRPr="00370F80" w:rsidRDefault="00370F80" w:rsidP="00FD521C">
            <w:pPr>
              <w:pStyle w:val="TableParagraph"/>
              <w:ind w:left="0"/>
              <w:jc w:val="both"/>
              <w:rPr>
                <w:sz w:val="24"/>
                <w:lang w:val="en-US"/>
              </w:rPr>
            </w:pPr>
            <w:r>
              <w:rPr>
                <w:sz w:val="24"/>
                <w:lang w:val="en-US"/>
              </w:rPr>
              <w:t>"CON" is 0 votes;</w:t>
            </w:r>
          </w:p>
          <w:p w14:paraId="660D1016" w14:textId="77777777" w:rsidR="00FD521C" w:rsidRPr="00370F80" w:rsidRDefault="00370F80" w:rsidP="00FD521C">
            <w:pPr>
              <w:pStyle w:val="TableParagraph"/>
              <w:ind w:left="0"/>
              <w:jc w:val="both"/>
              <w:rPr>
                <w:sz w:val="24"/>
                <w:lang w:val="en-US"/>
              </w:rPr>
            </w:pPr>
            <w:r>
              <w:rPr>
                <w:sz w:val="24"/>
                <w:lang w:val="en-US"/>
              </w:rPr>
              <w:t>"ABSTAIN" is 1 vote.</w:t>
            </w:r>
          </w:p>
          <w:p w14:paraId="1E2F0724" w14:textId="77777777" w:rsidR="00FD521C" w:rsidRPr="00370F80" w:rsidRDefault="00370F80" w:rsidP="00FD521C">
            <w:pPr>
              <w:pStyle w:val="TableParagraph"/>
              <w:ind w:left="0"/>
              <w:rPr>
                <w:sz w:val="24"/>
                <w:lang w:val="en-US"/>
              </w:rPr>
            </w:pPr>
            <w:r>
              <w:rPr>
                <w:b/>
                <w:sz w:val="24"/>
                <w:lang w:val="en-US"/>
              </w:rPr>
              <w:t xml:space="preserve">on issue No. 6 of the </w:t>
            </w:r>
            <w:r>
              <w:rPr>
                <w:sz w:val="24"/>
                <w:lang w:val="en-US"/>
              </w:rPr>
              <w:t>agenda:</w:t>
            </w:r>
          </w:p>
          <w:p w14:paraId="0D31C02E" w14:textId="77777777" w:rsidR="00FD521C" w:rsidRPr="00370F80" w:rsidRDefault="00370F80" w:rsidP="00FD521C">
            <w:pPr>
              <w:pStyle w:val="TableParagraph"/>
              <w:ind w:left="0"/>
              <w:rPr>
                <w:sz w:val="24"/>
                <w:lang w:val="en-US"/>
              </w:rPr>
            </w:pPr>
            <w:r>
              <w:rPr>
                <w:sz w:val="24"/>
                <w:lang w:val="en-US"/>
              </w:rPr>
              <w:t>"PRO" is 10 votes;</w:t>
            </w:r>
          </w:p>
          <w:p w14:paraId="48A65EDB" w14:textId="77777777" w:rsidR="00FD521C" w:rsidRPr="00370F80" w:rsidRDefault="00370F80" w:rsidP="00FD521C">
            <w:pPr>
              <w:pStyle w:val="TableParagraph"/>
              <w:ind w:left="0"/>
              <w:rPr>
                <w:sz w:val="24"/>
                <w:lang w:val="en-US"/>
              </w:rPr>
            </w:pPr>
            <w:r>
              <w:rPr>
                <w:sz w:val="24"/>
                <w:lang w:val="en-US"/>
              </w:rPr>
              <w:t xml:space="preserve">"CON" is 0 </w:t>
            </w:r>
            <w:r>
              <w:rPr>
                <w:sz w:val="24"/>
                <w:lang w:val="en-US"/>
              </w:rPr>
              <w:t>votes;</w:t>
            </w:r>
          </w:p>
          <w:p w14:paraId="3191CF9A" w14:textId="77777777" w:rsidR="00FD521C" w:rsidRDefault="00370F80" w:rsidP="00FD521C">
            <w:pPr>
              <w:pStyle w:val="TableParagraph"/>
              <w:ind w:left="0"/>
              <w:rPr>
                <w:sz w:val="24"/>
              </w:rPr>
            </w:pPr>
            <w:r>
              <w:rPr>
                <w:sz w:val="24"/>
                <w:lang w:val="en-US"/>
              </w:rPr>
              <w:lastRenderedPageBreak/>
              <w:t>"ABSTAIN" is 1 vote.</w:t>
            </w:r>
          </w:p>
        </w:tc>
      </w:tr>
      <w:tr w:rsidR="006760E7" w:rsidRPr="00370F80" w14:paraId="49887DBA" w14:textId="77777777" w:rsidTr="00FD521C">
        <w:trPr>
          <w:trHeight w:val="20"/>
        </w:trPr>
        <w:tc>
          <w:tcPr>
            <w:tcW w:w="5000" w:type="pct"/>
            <w:gridSpan w:val="7"/>
          </w:tcPr>
          <w:p w14:paraId="4B6A5695" w14:textId="77777777" w:rsidR="006A3C90" w:rsidRPr="00370F80" w:rsidRDefault="00370F80" w:rsidP="00FD521C">
            <w:pPr>
              <w:pStyle w:val="TableParagraph"/>
              <w:ind w:left="0" w:firstLine="431"/>
              <w:jc w:val="both"/>
              <w:rPr>
                <w:b/>
                <w:sz w:val="24"/>
                <w:lang w:val="en-US"/>
              </w:rPr>
            </w:pPr>
            <w:r>
              <w:rPr>
                <w:b/>
                <w:sz w:val="24"/>
                <w:lang w:val="en-US"/>
              </w:rPr>
              <w:lastRenderedPageBreak/>
              <w:t xml:space="preserve">Insider information disclosure on issue No. 1: Preliminary approval of a resolution on the Company's execution of a transaction related to the alienation of immovable property constituting fixed assets, the purpose of </w:t>
            </w:r>
            <w:r>
              <w:rPr>
                <w:b/>
                <w:sz w:val="24"/>
                <w:lang w:val="en-US"/>
              </w:rPr>
              <w:t>which is not production, transmission, dispatching, distribution of electric and thermal energy - property of the Green Grove Recreation Center located at the address: Rostov region, Rostov-on-Don, Kirovsky district, Levoberezhnaya street, 23.</w:t>
            </w:r>
          </w:p>
        </w:tc>
      </w:tr>
      <w:tr w:rsidR="006760E7" w14:paraId="19F2AB49" w14:textId="77777777" w:rsidTr="00FD521C">
        <w:trPr>
          <w:trHeight w:val="20"/>
        </w:trPr>
        <w:tc>
          <w:tcPr>
            <w:tcW w:w="5000" w:type="pct"/>
            <w:gridSpan w:val="7"/>
          </w:tcPr>
          <w:p w14:paraId="144C1C1E" w14:textId="77777777" w:rsidR="006A3C90" w:rsidRPr="00370F80" w:rsidRDefault="00370F80" w:rsidP="00FD521C">
            <w:pPr>
              <w:pStyle w:val="TableParagraph"/>
              <w:ind w:left="0" w:firstLine="431"/>
              <w:jc w:val="both"/>
              <w:rPr>
                <w:sz w:val="24"/>
                <w:lang w:val="en-US"/>
              </w:rPr>
            </w:pPr>
            <w:r>
              <w:rPr>
                <w:sz w:val="24"/>
                <w:lang w:val="en-US"/>
              </w:rPr>
              <w:t>2.2.1. Reso</w:t>
            </w:r>
            <w:r>
              <w:rPr>
                <w:sz w:val="24"/>
                <w:lang w:val="en-US"/>
              </w:rPr>
              <w:t>lution content adopted by the Issuer's Board of Directors:</w:t>
            </w:r>
          </w:p>
          <w:p w14:paraId="46DF72AE" w14:textId="77777777" w:rsidR="006A3C90" w:rsidRPr="00370F80" w:rsidRDefault="00370F80" w:rsidP="00FD521C">
            <w:pPr>
              <w:pStyle w:val="TableParagraph"/>
              <w:ind w:left="0" w:firstLine="431"/>
              <w:jc w:val="both"/>
              <w:rPr>
                <w:sz w:val="24"/>
                <w:lang w:val="en-US"/>
              </w:rPr>
            </w:pPr>
            <w:r>
              <w:rPr>
                <w:sz w:val="24"/>
                <w:lang w:val="en-US"/>
              </w:rPr>
              <w:t>Approve the resolution on the Company's execution of a transaction related to the alienation of immovable property constituting fixed assets, the purpose of which is not production, transmission, d</w:t>
            </w:r>
            <w:r>
              <w:rPr>
                <w:sz w:val="24"/>
                <w:lang w:val="en-US"/>
              </w:rPr>
              <w:t>ispatching, distribution of electric and thermal energy - property of the Green Grove Recreation Center located at: Rostov region, Rostov-on-Don, Kirovsky district, Levoberezhnaya street, 23, on the following material conditions:</w:t>
            </w:r>
          </w:p>
          <w:p w14:paraId="053F5781" w14:textId="77777777" w:rsidR="006A3C90" w:rsidRPr="00370F80" w:rsidRDefault="00370F80" w:rsidP="00FD521C">
            <w:pPr>
              <w:pStyle w:val="TableParagraph"/>
              <w:numPr>
                <w:ilvl w:val="0"/>
                <w:numId w:val="5"/>
              </w:numPr>
              <w:tabs>
                <w:tab w:val="left" w:pos="833"/>
              </w:tabs>
              <w:ind w:left="0" w:firstLine="431"/>
              <w:jc w:val="both"/>
              <w:rPr>
                <w:sz w:val="24"/>
                <w:lang w:val="en-US"/>
              </w:rPr>
            </w:pPr>
            <w:r>
              <w:rPr>
                <w:sz w:val="24"/>
                <w:lang w:val="en-US"/>
              </w:rPr>
              <w:t>the composition of the pro</w:t>
            </w:r>
            <w:r>
              <w:rPr>
                <w:sz w:val="24"/>
                <w:lang w:val="en-US"/>
              </w:rPr>
              <w:t>perty to be disposed of is shown in Annex No. 1 to this Board resolution;</w:t>
            </w:r>
          </w:p>
          <w:p w14:paraId="6A0C9E9E" w14:textId="77777777" w:rsidR="006A3C90" w:rsidRPr="00370F80" w:rsidRDefault="00370F80" w:rsidP="00FD521C">
            <w:pPr>
              <w:pStyle w:val="TableParagraph"/>
              <w:numPr>
                <w:ilvl w:val="0"/>
                <w:numId w:val="5"/>
              </w:numPr>
              <w:tabs>
                <w:tab w:val="left" w:pos="833"/>
              </w:tabs>
              <w:ind w:left="0" w:firstLine="431"/>
              <w:jc w:val="both"/>
              <w:rPr>
                <w:sz w:val="24"/>
                <w:lang w:val="en-US"/>
              </w:rPr>
            </w:pPr>
            <w:r>
              <w:rPr>
                <w:sz w:val="24"/>
                <w:lang w:val="en-US"/>
              </w:rPr>
              <w:t>as of December 31, 2018, the balance (residual) value of the alienated property is 52,660,412.12 (fifty-two million six hundred sixty thousand four hundred twelve) roubles and 12 kop</w:t>
            </w:r>
            <w:r>
              <w:rPr>
                <w:sz w:val="24"/>
                <w:lang w:val="en-US"/>
              </w:rPr>
              <w:t>ecks;</w:t>
            </w:r>
          </w:p>
          <w:p w14:paraId="012DFA6E" w14:textId="77777777" w:rsidR="006A3C90" w:rsidRPr="00370F80" w:rsidRDefault="00370F80" w:rsidP="00FD521C">
            <w:pPr>
              <w:pStyle w:val="TableParagraph"/>
              <w:numPr>
                <w:ilvl w:val="0"/>
                <w:numId w:val="5"/>
              </w:numPr>
              <w:tabs>
                <w:tab w:val="left" w:pos="799"/>
              </w:tabs>
              <w:ind w:left="0" w:firstLine="431"/>
              <w:jc w:val="both"/>
              <w:rPr>
                <w:sz w:val="24"/>
                <w:lang w:val="en-US"/>
              </w:rPr>
            </w:pPr>
            <w:r>
              <w:rPr>
                <w:sz w:val="24"/>
                <w:lang w:val="en-US"/>
              </w:rPr>
              <w:t>method of property alienation: sale of non-core assets of IDGC of the South, PJSC by means of a single lot through a public offer with the involvement of an agent for the sale of property and in accordance with the requirements of the Procedure for o</w:t>
            </w:r>
            <w:r>
              <w:rPr>
                <w:sz w:val="24"/>
                <w:lang w:val="en-US"/>
              </w:rPr>
              <w:t>rganizing the sale of non-core assets of IDGC of the South, PJSC, approved by the Company's Board of Directors;</w:t>
            </w:r>
          </w:p>
          <w:p w14:paraId="5BECF812" w14:textId="77777777" w:rsidR="006A3C90" w:rsidRPr="00370F80" w:rsidRDefault="00370F80" w:rsidP="00FD521C">
            <w:pPr>
              <w:pStyle w:val="TableParagraph"/>
              <w:numPr>
                <w:ilvl w:val="0"/>
                <w:numId w:val="5"/>
              </w:numPr>
              <w:tabs>
                <w:tab w:val="left" w:pos="953"/>
              </w:tabs>
              <w:ind w:left="0" w:firstLine="431"/>
              <w:jc w:val="both"/>
              <w:rPr>
                <w:sz w:val="24"/>
                <w:lang w:val="en-US"/>
              </w:rPr>
            </w:pPr>
            <w:r>
              <w:rPr>
                <w:sz w:val="24"/>
                <w:lang w:val="en-US"/>
              </w:rPr>
              <w:t>initial offer price: the value equal to the initial price of the failed auction in the amount of 58,062,645 (fifty-eight million sixty-two thous</w:t>
            </w:r>
            <w:r>
              <w:rPr>
                <w:sz w:val="24"/>
                <w:lang w:val="en-US"/>
              </w:rPr>
              <w:t>and six hundred forty-five) roubles 00 kopecks excluding VAT;</w:t>
            </w:r>
          </w:p>
          <w:p w14:paraId="2CF5A787" w14:textId="77777777" w:rsidR="006A3C90" w:rsidRPr="00370F80" w:rsidRDefault="00370F80" w:rsidP="00FD521C">
            <w:pPr>
              <w:pStyle w:val="TableParagraph"/>
              <w:numPr>
                <w:ilvl w:val="0"/>
                <w:numId w:val="5"/>
              </w:numPr>
              <w:tabs>
                <w:tab w:val="left" w:pos="751"/>
              </w:tabs>
              <w:ind w:left="0" w:firstLine="431"/>
              <w:jc w:val="both"/>
              <w:rPr>
                <w:sz w:val="24"/>
                <w:lang w:val="en-US"/>
              </w:rPr>
            </w:pPr>
            <w:r>
              <w:rPr>
                <w:sz w:val="24"/>
                <w:lang w:val="en-US"/>
              </w:rPr>
              <w:t xml:space="preserve">minimum bid price (below the balance value): the value equal to 50 (fifty) percent of the initial offer price of 29,031,323 (twenty-nine million thirty-one thousand three hundred and </w:t>
            </w:r>
            <w:r>
              <w:rPr>
                <w:sz w:val="24"/>
                <w:lang w:val="en-US"/>
              </w:rPr>
              <w:t>twenty-three) RUB;</w:t>
            </w:r>
          </w:p>
          <w:p w14:paraId="6728B4F1" w14:textId="77777777" w:rsidR="006A3C90" w:rsidRPr="00370F80" w:rsidRDefault="00370F80" w:rsidP="00FD521C">
            <w:pPr>
              <w:pStyle w:val="TableParagraph"/>
              <w:ind w:left="0" w:firstLine="431"/>
              <w:jc w:val="both"/>
              <w:rPr>
                <w:sz w:val="24"/>
                <w:lang w:val="en-US"/>
              </w:rPr>
            </w:pPr>
            <w:r>
              <w:rPr>
                <w:sz w:val="24"/>
                <w:lang w:val="en-US"/>
              </w:rPr>
              <w:t>- procedure (term) of payment for property: by transfer of funds by the Buyer to the Seller's current account before the transfer of ownership of the property within 15 (fifteen) working days from the date of signing of the purchase agre</w:t>
            </w:r>
            <w:r>
              <w:rPr>
                <w:sz w:val="24"/>
                <w:lang w:val="en-US"/>
              </w:rPr>
              <w:t>ement</w:t>
            </w:r>
          </w:p>
          <w:p w14:paraId="1FB265A8" w14:textId="77777777" w:rsidR="006A3C90" w:rsidRDefault="00370F80" w:rsidP="00FD521C">
            <w:pPr>
              <w:pStyle w:val="TableParagraph"/>
              <w:ind w:left="0" w:firstLine="431"/>
              <w:jc w:val="both"/>
              <w:rPr>
                <w:sz w:val="24"/>
              </w:rPr>
            </w:pPr>
            <w:r>
              <w:rPr>
                <w:sz w:val="24"/>
                <w:lang w:val="en-US"/>
              </w:rPr>
              <w:t>by the parties.</w:t>
            </w:r>
          </w:p>
        </w:tc>
      </w:tr>
      <w:tr w:rsidR="006760E7" w:rsidRPr="00370F80" w14:paraId="13521056" w14:textId="77777777" w:rsidTr="00FD521C">
        <w:trPr>
          <w:trHeight w:val="20"/>
        </w:trPr>
        <w:tc>
          <w:tcPr>
            <w:tcW w:w="5000" w:type="pct"/>
            <w:gridSpan w:val="7"/>
          </w:tcPr>
          <w:p w14:paraId="0DA1CD6A" w14:textId="77777777" w:rsidR="006A3C90" w:rsidRPr="00370F80" w:rsidRDefault="00370F80" w:rsidP="00FD521C">
            <w:pPr>
              <w:pStyle w:val="TableParagraph"/>
              <w:ind w:left="0" w:firstLine="431"/>
              <w:jc w:val="both"/>
              <w:rPr>
                <w:b/>
                <w:sz w:val="24"/>
                <w:lang w:val="en-US"/>
              </w:rPr>
            </w:pPr>
            <w:r>
              <w:rPr>
                <w:b/>
                <w:sz w:val="24"/>
                <w:lang w:val="en-US"/>
              </w:rPr>
              <w:t xml:space="preserve">Insider information disclosure on issue No. 2: On preliminary approval of the resolution on the Company's execution of a transaction related to the alienation of immovable property constituting fixed assets, the purpose of which is </w:t>
            </w:r>
            <w:r>
              <w:rPr>
                <w:b/>
                <w:sz w:val="24"/>
                <w:lang w:val="en-US"/>
              </w:rPr>
              <w:t>not production, transmission, dispatching, distribution of electric and thermal energy - non-residential premises with a total area of 2,562.3 square meters located at the address: Rostov region, Rostov-on-Don, Leninsky district, Semashko al., 48.</w:t>
            </w:r>
          </w:p>
        </w:tc>
      </w:tr>
      <w:tr w:rsidR="006760E7" w:rsidRPr="00370F80" w14:paraId="6A2A2C17" w14:textId="77777777" w:rsidTr="00FD521C">
        <w:trPr>
          <w:trHeight w:val="20"/>
        </w:trPr>
        <w:tc>
          <w:tcPr>
            <w:tcW w:w="5000" w:type="pct"/>
            <w:gridSpan w:val="7"/>
          </w:tcPr>
          <w:p w14:paraId="4E4968E4" w14:textId="77777777" w:rsidR="00FD521C" w:rsidRPr="00370F80" w:rsidRDefault="00370F80" w:rsidP="00FD521C">
            <w:pPr>
              <w:pStyle w:val="TableParagraph"/>
              <w:ind w:left="0" w:firstLine="431"/>
              <w:jc w:val="both"/>
              <w:rPr>
                <w:sz w:val="24"/>
                <w:lang w:val="en-US"/>
              </w:rPr>
            </w:pPr>
            <w:r>
              <w:rPr>
                <w:sz w:val="24"/>
                <w:lang w:val="en-US"/>
              </w:rPr>
              <w:t xml:space="preserve">2.2.2. </w:t>
            </w:r>
            <w:r>
              <w:rPr>
                <w:sz w:val="24"/>
                <w:lang w:val="en-US"/>
              </w:rPr>
              <w:t>Resolution content adopted by the Issuer's Board of Directors:</w:t>
            </w:r>
          </w:p>
          <w:p w14:paraId="7149CEC3" w14:textId="77777777" w:rsidR="00FD521C" w:rsidRPr="00370F80" w:rsidRDefault="00370F80" w:rsidP="00FD521C">
            <w:pPr>
              <w:pStyle w:val="TableParagraph"/>
              <w:ind w:left="0" w:firstLine="431"/>
              <w:jc w:val="both"/>
              <w:rPr>
                <w:sz w:val="24"/>
                <w:lang w:val="en-US"/>
              </w:rPr>
            </w:pPr>
            <w:r>
              <w:rPr>
                <w:sz w:val="24"/>
                <w:lang w:val="en-US"/>
              </w:rPr>
              <w:t>Approve the resolution on the Company's execution of a transaction related to the alienation of immovable property constituting fixed assets, the purpose of which is not production, transmissio</w:t>
            </w:r>
            <w:r>
              <w:rPr>
                <w:sz w:val="24"/>
                <w:lang w:val="en-US"/>
              </w:rPr>
              <w:t>n, dispatching, distribution of electric and thermal energy - non-residential premises with a total area of 2,562.3 square meters located at: Rostov region, Rostov-on-Don, Leninsky district, Semashko al., 48, on the following material conditions:</w:t>
            </w:r>
          </w:p>
          <w:p w14:paraId="378E0A2C" w14:textId="77777777" w:rsidR="00FD521C" w:rsidRPr="00370F80" w:rsidRDefault="00370F80" w:rsidP="00FD521C">
            <w:pPr>
              <w:pStyle w:val="TableParagraph"/>
              <w:ind w:left="0" w:firstLine="431"/>
              <w:jc w:val="both"/>
              <w:rPr>
                <w:sz w:val="24"/>
                <w:lang w:val="en-US"/>
              </w:rPr>
            </w:pPr>
            <w:r>
              <w:rPr>
                <w:sz w:val="24"/>
                <w:lang w:val="en-US"/>
              </w:rPr>
              <w:t>- the com</w:t>
            </w:r>
            <w:r>
              <w:rPr>
                <w:sz w:val="24"/>
                <w:lang w:val="en-US"/>
              </w:rPr>
              <w:t>position of the property to be disposed of is shown in Annex No. 2 to this Board resolution;</w:t>
            </w:r>
          </w:p>
          <w:p w14:paraId="5F291339" w14:textId="77777777" w:rsidR="00FD521C" w:rsidRPr="00370F80" w:rsidRDefault="00370F80" w:rsidP="00FD521C">
            <w:pPr>
              <w:pStyle w:val="TableParagraph"/>
              <w:numPr>
                <w:ilvl w:val="0"/>
                <w:numId w:val="4"/>
              </w:numPr>
              <w:tabs>
                <w:tab w:val="left" w:pos="749"/>
              </w:tabs>
              <w:ind w:left="0" w:firstLine="431"/>
              <w:jc w:val="both"/>
              <w:rPr>
                <w:sz w:val="24"/>
                <w:lang w:val="en-US"/>
              </w:rPr>
            </w:pPr>
            <w:r>
              <w:rPr>
                <w:sz w:val="24"/>
                <w:lang w:val="en-US"/>
              </w:rPr>
              <w:t>as of December 31, 2018, the carrying value of the object is 2,944,396.04 (two million nine hundred forty four thousand three hundred ninety-six) roubles and 04 ko</w:t>
            </w:r>
            <w:r>
              <w:rPr>
                <w:sz w:val="24"/>
                <w:lang w:val="en-US"/>
              </w:rPr>
              <w:t>pecks;</w:t>
            </w:r>
          </w:p>
          <w:p w14:paraId="45D3585C" w14:textId="77777777" w:rsidR="00FD521C" w:rsidRPr="00370F80" w:rsidRDefault="00370F80" w:rsidP="00FD521C">
            <w:pPr>
              <w:pStyle w:val="TableParagraph"/>
              <w:numPr>
                <w:ilvl w:val="0"/>
                <w:numId w:val="4"/>
              </w:numPr>
              <w:tabs>
                <w:tab w:val="left" w:pos="799"/>
              </w:tabs>
              <w:ind w:left="0" w:firstLine="431"/>
              <w:jc w:val="both"/>
              <w:rPr>
                <w:sz w:val="24"/>
                <w:lang w:val="en-US"/>
              </w:rPr>
            </w:pPr>
            <w:r>
              <w:rPr>
                <w:sz w:val="24"/>
                <w:lang w:val="en-US"/>
              </w:rPr>
              <w:t xml:space="preserve">method of property alienation: sale of non-core assets of IDGC of the South, PJSC by means of a single lot through a public offer with the involvement of an agent for the sale of property and in accordance with the requirements of the </w:t>
            </w:r>
            <w:r>
              <w:rPr>
                <w:sz w:val="24"/>
                <w:lang w:val="en-US"/>
              </w:rPr>
              <w:t xml:space="preserve">Procedure for organizing the sale of non-core assets of </w:t>
            </w:r>
            <w:r>
              <w:rPr>
                <w:sz w:val="24"/>
                <w:lang w:val="en-US"/>
              </w:rPr>
              <w:lastRenderedPageBreak/>
              <w:t>IDGC of the South, PJSC, approved by the Company's Board of Directors;</w:t>
            </w:r>
          </w:p>
          <w:p w14:paraId="57F1956A" w14:textId="77777777" w:rsidR="00FD521C" w:rsidRPr="00370F80" w:rsidRDefault="00370F80" w:rsidP="00FD521C">
            <w:pPr>
              <w:pStyle w:val="TableParagraph"/>
              <w:numPr>
                <w:ilvl w:val="0"/>
                <w:numId w:val="4"/>
              </w:numPr>
              <w:tabs>
                <w:tab w:val="left" w:pos="953"/>
              </w:tabs>
              <w:ind w:left="0" w:firstLine="431"/>
              <w:jc w:val="both"/>
              <w:rPr>
                <w:sz w:val="24"/>
                <w:lang w:val="en-US"/>
              </w:rPr>
            </w:pPr>
            <w:r>
              <w:rPr>
                <w:sz w:val="24"/>
                <w:lang w:val="en-US"/>
              </w:rPr>
              <w:t>initial offer price: cost, equal to the initial price of the failed auction, in the amount of 86,270,000.00 (eighty-six million t</w:t>
            </w:r>
            <w:r>
              <w:rPr>
                <w:sz w:val="24"/>
                <w:lang w:val="en-US"/>
              </w:rPr>
              <w:t>wo hundred and seventy thousand) roubles 00 kopecks, excluding VAT;</w:t>
            </w:r>
          </w:p>
          <w:p w14:paraId="69FDF519" w14:textId="77777777" w:rsidR="00FD521C" w:rsidRPr="00370F80" w:rsidRDefault="00370F80" w:rsidP="00FD521C">
            <w:pPr>
              <w:pStyle w:val="TableParagraph"/>
              <w:numPr>
                <w:ilvl w:val="0"/>
                <w:numId w:val="4"/>
              </w:numPr>
              <w:tabs>
                <w:tab w:val="left" w:pos="751"/>
              </w:tabs>
              <w:ind w:left="0" w:firstLine="431"/>
              <w:jc w:val="both"/>
              <w:rPr>
                <w:sz w:val="24"/>
                <w:lang w:val="en-US"/>
              </w:rPr>
            </w:pPr>
            <w:r>
              <w:rPr>
                <w:sz w:val="24"/>
                <w:lang w:val="en-US"/>
              </w:rPr>
              <w:t>minimum bid price: value equal to 50 (fifty) percent of the initial offer price in the amount of 43,135,000 (forty three million one hundred and thirty-five thousand) 00 kopecks with the i</w:t>
            </w:r>
            <w:r>
              <w:rPr>
                <w:sz w:val="24"/>
                <w:lang w:val="en-US"/>
              </w:rPr>
              <w:t>nvolvement of an agent for the sale of property;</w:t>
            </w:r>
          </w:p>
          <w:p w14:paraId="4EB0A802" w14:textId="77777777" w:rsidR="00FD521C" w:rsidRPr="00370F80" w:rsidRDefault="00370F80" w:rsidP="00FD521C">
            <w:pPr>
              <w:pStyle w:val="TableParagraph"/>
              <w:numPr>
                <w:ilvl w:val="0"/>
                <w:numId w:val="4"/>
              </w:numPr>
              <w:tabs>
                <w:tab w:val="left" w:pos="814"/>
              </w:tabs>
              <w:ind w:left="0" w:firstLine="431"/>
              <w:jc w:val="both"/>
              <w:rPr>
                <w:sz w:val="24"/>
                <w:lang w:val="en-US"/>
              </w:rPr>
            </w:pPr>
            <w:r>
              <w:rPr>
                <w:sz w:val="24"/>
                <w:lang w:val="en-US"/>
              </w:rPr>
              <w:t xml:space="preserve">procedure (term) of payment for property: by transfer of funds by the Buyer to the Seller's current account before the transfer of ownership of the property within 15 (fifteen) working days from the date of </w:t>
            </w:r>
            <w:r>
              <w:rPr>
                <w:sz w:val="24"/>
                <w:lang w:val="en-US"/>
              </w:rPr>
              <w:t>signing of the purchase agreement by the parties.</w:t>
            </w:r>
          </w:p>
        </w:tc>
      </w:tr>
      <w:tr w:rsidR="006760E7" w:rsidRPr="00370F80" w14:paraId="316F8355" w14:textId="77777777" w:rsidTr="00FD521C">
        <w:trPr>
          <w:trHeight w:val="20"/>
        </w:trPr>
        <w:tc>
          <w:tcPr>
            <w:tcW w:w="5000" w:type="pct"/>
            <w:gridSpan w:val="7"/>
          </w:tcPr>
          <w:p w14:paraId="6EEA669D" w14:textId="77777777" w:rsidR="006A3C90" w:rsidRPr="00370F80" w:rsidRDefault="00370F80" w:rsidP="00FD521C">
            <w:pPr>
              <w:pStyle w:val="TableParagraph"/>
              <w:ind w:left="0" w:firstLine="431"/>
              <w:jc w:val="both"/>
              <w:rPr>
                <w:b/>
                <w:sz w:val="24"/>
                <w:lang w:val="en-US"/>
              </w:rPr>
            </w:pPr>
            <w:r>
              <w:rPr>
                <w:b/>
                <w:sz w:val="24"/>
                <w:lang w:val="en-US"/>
              </w:rPr>
              <w:lastRenderedPageBreak/>
              <w:t>Insider information disclosure on issue No. 3: On consideration of the results of anti-corruption monitoring of IDGC of the South, PJSC for 2018.</w:t>
            </w:r>
          </w:p>
        </w:tc>
      </w:tr>
      <w:tr w:rsidR="006760E7" w:rsidRPr="00370F80" w14:paraId="42FAED55" w14:textId="77777777" w:rsidTr="00FD521C">
        <w:trPr>
          <w:trHeight w:val="20"/>
        </w:trPr>
        <w:tc>
          <w:tcPr>
            <w:tcW w:w="5000" w:type="pct"/>
            <w:gridSpan w:val="7"/>
          </w:tcPr>
          <w:p w14:paraId="1E0E15BE" w14:textId="77777777" w:rsidR="006A3C90" w:rsidRPr="00370F80" w:rsidRDefault="00370F80" w:rsidP="00FD521C">
            <w:pPr>
              <w:pStyle w:val="TableParagraph"/>
              <w:ind w:left="0" w:firstLine="431"/>
              <w:jc w:val="both"/>
              <w:rPr>
                <w:sz w:val="24"/>
                <w:lang w:val="en-US"/>
              </w:rPr>
            </w:pPr>
            <w:r>
              <w:rPr>
                <w:sz w:val="24"/>
                <w:lang w:val="en-US"/>
              </w:rPr>
              <w:t xml:space="preserve">2.2.3. Resolution content adopted by the Issuer's </w:t>
            </w:r>
            <w:r>
              <w:rPr>
                <w:sz w:val="24"/>
                <w:lang w:val="en-US"/>
              </w:rPr>
              <w:t>Board of Directors:</w:t>
            </w:r>
          </w:p>
          <w:p w14:paraId="1D64E6E7" w14:textId="77777777" w:rsidR="006A3C90" w:rsidRPr="00370F80" w:rsidRDefault="00370F80" w:rsidP="00FD521C">
            <w:pPr>
              <w:pStyle w:val="TableParagraph"/>
              <w:ind w:left="0" w:firstLine="431"/>
              <w:jc w:val="both"/>
              <w:rPr>
                <w:sz w:val="24"/>
                <w:lang w:val="en-US"/>
              </w:rPr>
            </w:pPr>
            <w:r>
              <w:rPr>
                <w:sz w:val="24"/>
                <w:lang w:val="en-US"/>
              </w:rPr>
              <w:t>Take into consideration the information on the results of the Anticorruption Monitoring for 2018 in accordance with Annex No. 3 hereto.</w:t>
            </w:r>
          </w:p>
        </w:tc>
      </w:tr>
      <w:tr w:rsidR="006760E7" w:rsidRPr="00370F80" w14:paraId="683F73D6" w14:textId="77777777" w:rsidTr="00FD521C">
        <w:trPr>
          <w:trHeight w:val="20"/>
        </w:trPr>
        <w:tc>
          <w:tcPr>
            <w:tcW w:w="5000" w:type="pct"/>
            <w:gridSpan w:val="7"/>
          </w:tcPr>
          <w:p w14:paraId="2F6F9F4F" w14:textId="77777777" w:rsidR="006A3C90" w:rsidRPr="00370F80" w:rsidRDefault="00370F80" w:rsidP="00FD521C">
            <w:pPr>
              <w:pStyle w:val="TableParagraph"/>
              <w:ind w:left="0" w:firstLine="431"/>
              <w:jc w:val="both"/>
              <w:rPr>
                <w:b/>
                <w:sz w:val="24"/>
                <w:lang w:val="en-US"/>
              </w:rPr>
            </w:pPr>
            <w:r>
              <w:rPr>
                <w:b/>
                <w:sz w:val="24"/>
                <w:lang w:val="en-US"/>
              </w:rPr>
              <w:t xml:space="preserve">Insider information disclosure on issue No. 4: On approval of the Timed action plan of IDGC of the </w:t>
            </w:r>
            <w:r>
              <w:rPr>
                <w:b/>
                <w:sz w:val="24"/>
                <w:lang w:val="en-US"/>
              </w:rPr>
              <w:t>South, PJSC on the reduction of overdue accounts receivable for services in electric power transmission and settlement of disagreements, formed as of January 1, 2019.</w:t>
            </w:r>
          </w:p>
        </w:tc>
      </w:tr>
      <w:tr w:rsidR="006760E7" w14:paraId="77BDAC53" w14:textId="77777777" w:rsidTr="00FD521C">
        <w:trPr>
          <w:trHeight w:val="20"/>
        </w:trPr>
        <w:tc>
          <w:tcPr>
            <w:tcW w:w="5000" w:type="pct"/>
            <w:gridSpan w:val="7"/>
          </w:tcPr>
          <w:p w14:paraId="654BC649" w14:textId="77777777" w:rsidR="00FD521C" w:rsidRPr="00370F80" w:rsidRDefault="00370F80" w:rsidP="00FD521C">
            <w:pPr>
              <w:pStyle w:val="TableParagraph"/>
              <w:ind w:left="0" w:firstLine="431"/>
              <w:jc w:val="both"/>
              <w:rPr>
                <w:sz w:val="24"/>
                <w:lang w:val="en-US"/>
              </w:rPr>
            </w:pPr>
            <w:r>
              <w:rPr>
                <w:sz w:val="24"/>
                <w:lang w:val="en-US"/>
              </w:rPr>
              <w:t>2.2.4. Resolution content adopted by the Issuer's Board of Directors:</w:t>
            </w:r>
          </w:p>
          <w:p w14:paraId="2702CDCA" w14:textId="77777777" w:rsidR="00FD521C" w:rsidRPr="00370F80" w:rsidRDefault="00370F80" w:rsidP="00FD521C">
            <w:pPr>
              <w:pStyle w:val="TableParagraph"/>
              <w:numPr>
                <w:ilvl w:val="0"/>
                <w:numId w:val="3"/>
              </w:numPr>
              <w:tabs>
                <w:tab w:val="left" w:pos="1008"/>
              </w:tabs>
              <w:ind w:left="0" w:firstLine="431"/>
              <w:jc w:val="both"/>
              <w:rPr>
                <w:sz w:val="24"/>
                <w:lang w:val="en-US"/>
              </w:rPr>
            </w:pPr>
            <w:r>
              <w:rPr>
                <w:sz w:val="24"/>
                <w:lang w:val="en-US"/>
              </w:rPr>
              <w:t xml:space="preserve">Approve the Timed </w:t>
            </w:r>
            <w:r>
              <w:rPr>
                <w:sz w:val="24"/>
                <w:lang w:val="en-US"/>
              </w:rPr>
              <w:t>Action Plan of IDGC of the South, PJSC for reduction of overdue accounts receivable for electric power transmission services and settlement of disagreements as of January 1, 2019,</w:t>
            </w:r>
          </w:p>
          <w:p w14:paraId="319D8E1C" w14:textId="77777777" w:rsidR="00FD521C" w:rsidRPr="00370F80" w:rsidRDefault="00370F80" w:rsidP="00FD521C">
            <w:pPr>
              <w:pStyle w:val="TableParagraph"/>
              <w:ind w:left="0" w:firstLine="431"/>
              <w:jc w:val="both"/>
              <w:rPr>
                <w:sz w:val="24"/>
                <w:lang w:val="en-US"/>
              </w:rPr>
            </w:pPr>
            <w:r>
              <w:rPr>
                <w:sz w:val="24"/>
                <w:lang w:val="en-US"/>
              </w:rPr>
              <w:t>No. 4 to this resolution of the Company's Board of Directors.</w:t>
            </w:r>
          </w:p>
          <w:p w14:paraId="046185D8" w14:textId="77777777" w:rsidR="00FD521C" w:rsidRPr="00370F80" w:rsidRDefault="00370F80" w:rsidP="00FD521C">
            <w:pPr>
              <w:pStyle w:val="TableParagraph"/>
              <w:numPr>
                <w:ilvl w:val="0"/>
                <w:numId w:val="3"/>
              </w:numPr>
              <w:tabs>
                <w:tab w:val="left" w:pos="842"/>
              </w:tabs>
              <w:ind w:left="0" w:firstLine="431"/>
              <w:jc w:val="both"/>
              <w:rPr>
                <w:sz w:val="24"/>
                <w:lang w:val="en-US"/>
              </w:rPr>
            </w:pPr>
            <w:r>
              <w:rPr>
                <w:sz w:val="24"/>
                <w:lang w:val="en-US"/>
              </w:rPr>
              <w:t>Take into cons</w:t>
            </w:r>
            <w:r>
              <w:rPr>
                <w:sz w:val="24"/>
                <w:lang w:val="en-US"/>
              </w:rPr>
              <w:t>ideration the Report on the performance of the Timed Action Plan of measures of IDGC of the South, PJSC earlier approved by the Company's Board of Directors on the reduction of overdue accounts receivable for electric power transmission services and settle</w:t>
            </w:r>
            <w:r>
              <w:rPr>
                <w:sz w:val="24"/>
                <w:lang w:val="en-US"/>
              </w:rPr>
              <w:t>ment of disagreements, formed as of October 1, 2018, according to Annex</w:t>
            </w:r>
          </w:p>
          <w:p w14:paraId="2C584F64" w14:textId="77777777" w:rsidR="00FD521C" w:rsidRPr="00370F80" w:rsidRDefault="00370F80" w:rsidP="00FD521C">
            <w:pPr>
              <w:pStyle w:val="TableParagraph"/>
              <w:ind w:left="0" w:firstLine="431"/>
              <w:jc w:val="both"/>
              <w:rPr>
                <w:sz w:val="24"/>
                <w:lang w:val="en-US"/>
              </w:rPr>
            </w:pPr>
            <w:r>
              <w:rPr>
                <w:sz w:val="24"/>
                <w:lang w:val="en-US"/>
              </w:rPr>
              <w:t>No. 5 to this resolution of the Company's Board of Directors.</w:t>
            </w:r>
          </w:p>
          <w:p w14:paraId="52EA7157" w14:textId="77777777" w:rsidR="00FD521C" w:rsidRPr="00370F80" w:rsidRDefault="00370F80" w:rsidP="00FD521C">
            <w:pPr>
              <w:pStyle w:val="TableParagraph"/>
              <w:numPr>
                <w:ilvl w:val="0"/>
                <w:numId w:val="3"/>
              </w:numPr>
              <w:tabs>
                <w:tab w:val="left" w:pos="854"/>
              </w:tabs>
              <w:ind w:left="0" w:firstLine="431"/>
              <w:jc w:val="both"/>
              <w:rPr>
                <w:sz w:val="24"/>
                <w:lang w:val="en-US"/>
              </w:rPr>
            </w:pPr>
            <w:r>
              <w:rPr>
                <w:sz w:val="24"/>
                <w:lang w:val="en-US"/>
              </w:rPr>
              <w:t xml:space="preserve">Take into consideration the Report on the work performed by IDGC of the South, PJSC in respect of newly formed </w:t>
            </w:r>
            <w:r>
              <w:rPr>
                <w:sz w:val="24"/>
                <w:lang w:val="en-US"/>
              </w:rPr>
              <w:t>overdue receivables for electric power transmission services in Q4 2018, in accordance with Annex 6 to this resolution of the Company's Board of Directors.</w:t>
            </w:r>
          </w:p>
          <w:p w14:paraId="070AF16C" w14:textId="77777777" w:rsidR="00FD521C" w:rsidRPr="00370F80" w:rsidRDefault="00370F80" w:rsidP="00FD521C">
            <w:pPr>
              <w:pStyle w:val="TableParagraph"/>
              <w:numPr>
                <w:ilvl w:val="0"/>
                <w:numId w:val="3"/>
              </w:numPr>
              <w:tabs>
                <w:tab w:val="left" w:pos="859"/>
              </w:tabs>
              <w:ind w:left="0" w:firstLine="431"/>
              <w:jc w:val="both"/>
              <w:rPr>
                <w:sz w:val="24"/>
                <w:lang w:val="en-US"/>
              </w:rPr>
            </w:pPr>
            <w:r>
              <w:rPr>
                <w:sz w:val="24"/>
                <w:lang w:val="en-US"/>
              </w:rPr>
              <w:t xml:space="preserve">Take into consideration the Report of IDGC of the South, PJSC on repayment within 12 months of 2018 </w:t>
            </w:r>
            <w:r>
              <w:rPr>
                <w:sz w:val="24"/>
                <w:lang w:val="en-US"/>
              </w:rPr>
              <w:t>of overdue accounts receivable, established as of January 1, 2018, in accordance with Annex 7 to this resolution of the Company's Board of Directors.</w:t>
            </w:r>
          </w:p>
          <w:p w14:paraId="49DC7568" w14:textId="77777777" w:rsidR="00FD521C" w:rsidRPr="00370F80" w:rsidRDefault="00370F80" w:rsidP="00FD521C">
            <w:pPr>
              <w:pStyle w:val="TableParagraph"/>
              <w:numPr>
                <w:ilvl w:val="0"/>
                <w:numId w:val="3"/>
              </w:numPr>
              <w:tabs>
                <w:tab w:val="left" w:pos="833"/>
              </w:tabs>
              <w:ind w:left="0" w:firstLine="431"/>
              <w:jc w:val="both"/>
              <w:rPr>
                <w:sz w:val="24"/>
                <w:lang w:val="en-US"/>
              </w:rPr>
            </w:pPr>
            <w:r>
              <w:rPr>
                <w:sz w:val="24"/>
                <w:lang w:val="en-US"/>
              </w:rPr>
              <w:t>Entrust the Single Executive Body of the Company with:</w:t>
            </w:r>
          </w:p>
          <w:p w14:paraId="2990E0F6" w14:textId="77777777" w:rsidR="00FD521C" w:rsidRPr="00370F80" w:rsidRDefault="00370F80" w:rsidP="00FD521C">
            <w:pPr>
              <w:pStyle w:val="TableParagraph"/>
              <w:numPr>
                <w:ilvl w:val="1"/>
                <w:numId w:val="3"/>
              </w:numPr>
              <w:tabs>
                <w:tab w:val="left" w:pos="1034"/>
              </w:tabs>
              <w:ind w:left="0" w:firstLine="431"/>
              <w:jc w:val="both"/>
              <w:rPr>
                <w:sz w:val="24"/>
                <w:lang w:val="en-US"/>
              </w:rPr>
            </w:pPr>
            <w:r>
              <w:rPr>
                <w:sz w:val="24"/>
                <w:lang w:val="en-US"/>
              </w:rPr>
              <w:t>Ensure the repayment of overdue accounts receivable</w:t>
            </w:r>
            <w:r>
              <w:rPr>
                <w:sz w:val="24"/>
                <w:lang w:val="en-US"/>
              </w:rPr>
              <w:t xml:space="preserve"> in 2019 of 6,050 million RUB from the amount as of January 1, 2019, including 1,192 million RUB in the Q1 2019, 3,736 million RUB in the Q2 2019, 292 million RUB in the Q3 2019 and 830 million RUB in the Q4 2019.</w:t>
            </w:r>
          </w:p>
          <w:p w14:paraId="36131077" w14:textId="77777777" w:rsidR="00FD521C" w:rsidRPr="00370F80" w:rsidRDefault="00370F80" w:rsidP="00FD521C">
            <w:pPr>
              <w:pStyle w:val="TableParagraph"/>
              <w:numPr>
                <w:ilvl w:val="1"/>
                <w:numId w:val="3"/>
              </w:numPr>
              <w:tabs>
                <w:tab w:val="left" w:pos="1022"/>
              </w:tabs>
              <w:ind w:left="0" w:firstLine="431"/>
              <w:jc w:val="both"/>
              <w:rPr>
                <w:sz w:val="24"/>
                <w:lang w:val="en-US"/>
              </w:rPr>
            </w:pPr>
            <w:r>
              <w:rPr>
                <w:sz w:val="24"/>
                <w:lang w:val="en-US"/>
              </w:rPr>
              <w:t>Ensure quarterly submission within the fra</w:t>
            </w:r>
            <w:r>
              <w:rPr>
                <w:sz w:val="24"/>
                <w:lang w:val="en-US"/>
              </w:rPr>
              <w:t>mework of this issue of information on the progress of execution of the order specified in p. 5.1. of this resolution (on an accrual basis from the</w:t>
            </w:r>
          </w:p>
          <w:p w14:paraId="146B6991" w14:textId="77777777" w:rsidR="00FD521C" w:rsidRDefault="00370F80" w:rsidP="00FD521C">
            <w:pPr>
              <w:pStyle w:val="TableParagraph"/>
              <w:ind w:left="0" w:firstLine="431"/>
              <w:jc w:val="both"/>
              <w:rPr>
                <w:sz w:val="24"/>
              </w:rPr>
            </w:pPr>
            <w:r>
              <w:rPr>
                <w:sz w:val="24"/>
                <w:lang w:val="en-US"/>
              </w:rPr>
              <w:t>beginning of the year).</w:t>
            </w:r>
          </w:p>
        </w:tc>
      </w:tr>
      <w:tr w:rsidR="006760E7" w:rsidRPr="00370F80" w14:paraId="18D4DCE9" w14:textId="77777777" w:rsidTr="00FD521C">
        <w:trPr>
          <w:trHeight w:val="20"/>
        </w:trPr>
        <w:tc>
          <w:tcPr>
            <w:tcW w:w="5000" w:type="pct"/>
            <w:gridSpan w:val="7"/>
          </w:tcPr>
          <w:p w14:paraId="4288E563" w14:textId="77777777" w:rsidR="006A3C90" w:rsidRPr="00370F80" w:rsidRDefault="00370F80" w:rsidP="00FD521C">
            <w:pPr>
              <w:pStyle w:val="TableParagraph"/>
              <w:ind w:left="0" w:firstLine="431"/>
              <w:jc w:val="both"/>
              <w:rPr>
                <w:b/>
                <w:sz w:val="24"/>
                <w:lang w:val="en-US"/>
              </w:rPr>
            </w:pPr>
            <w:r>
              <w:rPr>
                <w:b/>
                <w:sz w:val="24"/>
                <w:lang w:val="en-US"/>
              </w:rPr>
              <w:t xml:space="preserve">Insider information disclosure on issue No. 5: On review of the internal audit </w:t>
            </w:r>
            <w:r>
              <w:rPr>
                <w:b/>
                <w:sz w:val="24"/>
                <w:lang w:val="en-US"/>
              </w:rPr>
              <w:t>report on implementation of the work plan and results of the internal audit activity, including results of the self-assessment of the quality of the internal audit activity based on the results of 2018, as well as on implementation of the action plan for d</w:t>
            </w:r>
            <w:r>
              <w:rPr>
                <w:b/>
                <w:sz w:val="24"/>
                <w:lang w:val="en-US"/>
              </w:rPr>
              <w:t>evelopment and improvement of the Company's internal audit activity.</w:t>
            </w:r>
          </w:p>
        </w:tc>
      </w:tr>
      <w:tr w:rsidR="006760E7" w:rsidRPr="00370F80" w14:paraId="68404514" w14:textId="77777777" w:rsidTr="00FD521C">
        <w:trPr>
          <w:trHeight w:val="20"/>
        </w:trPr>
        <w:tc>
          <w:tcPr>
            <w:tcW w:w="5000" w:type="pct"/>
            <w:gridSpan w:val="7"/>
          </w:tcPr>
          <w:p w14:paraId="392B973C" w14:textId="77777777" w:rsidR="006A3C90" w:rsidRPr="00370F80" w:rsidRDefault="00370F80" w:rsidP="00FD521C">
            <w:pPr>
              <w:pStyle w:val="TableParagraph"/>
              <w:ind w:left="0" w:firstLine="431"/>
              <w:jc w:val="both"/>
              <w:rPr>
                <w:sz w:val="24"/>
                <w:lang w:val="en-US"/>
              </w:rPr>
            </w:pPr>
            <w:r>
              <w:rPr>
                <w:sz w:val="24"/>
                <w:lang w:val="en-US"/>
              </w:rPr>
              <w:t>2.2.5. Resolution content adopted by the Issuer's Board of Directors:</w:t>
            </w:r>
          </w:p>
          <w:p w14:paraId="5855A24D" w14:textId="77777777" w:rsidR="006A3C90" w:rsidRPr="00370F80" w:rsidRDefault="00370F80" w:rsidP="00FD521C">
            <w:pPr>
              <w:pStyle w:val="TableParagraph"/>
              <w:ind w:left="0" w:firstLine="431"/>
              <w:jc w:val="both"/>
              <w:rPr>
                <w:sz w:val="24"/>
                <w:lang w:val="en-US"/>
              </w:rPr>
            </w:pPr>
            <w:r>
              <w:rPr>
                <w:sz w:val="24"/>
                <w:lang w:val="en-US"/>
              </w:rPr>
              <w:t>Approve the report on the implementation of the internal audit plan of IDGC of the South, PJSC for 2018, including t</w:t>
            </w:r>
            <w:r>
              <w:rPr>
                <w:sz w:val="24"/>
                <w:lang w:val="en-US"/>
              </w:rPr>
              <w:t>he results of the self-assessment of the quality of the internal audit activity for 2018 as per Annex No. 8 to this resolution of the Company's Board of Directors.</w:t>
            </w:r>
          </w:p>
        </w:tc>
      </w:tr>
      <w:tr w:rsidR="006760E7" w:rsidRPr="00370F80" w14:paraId="02135456" w14:textId="77777777" w:rsidTr="00FD521C">
        <w:trPr>
          <w:trHeight w:val="20"/>
        </w:trPr>
        <w:tc>
          <w:tcPr>
            <w:tcW w:w="5000" w:type="pct"/>
            <w:gridSpan w:val="7"/>
          </w:tcPr>
          <w:p w14:paraId="04A6F9B2" w14:textId="77777777" w:rsidR="006A3C90" w:rsidRPr="00370F80" w:rsidRDefault="00370F80" w:rsidP="00FD521C">
            <w:pPr>
              <w:pStyle w:val="TableParagraph"/>
              <w:ind w:left="0" w:firstLine="431"/>
              <w:jc w:val="both"/>
              <w:rPr>
                <w:b/>
                <w:sz w:val="24"/>
                <w:lang w:val="en-US"/>
              </w:rPr>
            </w:pPr>
            <w:r>
              <w:rPr>
                <w:b/>
                <w:sz w:val="24"/>
                <w:lang w:val="en-US"/>
              </w:rPr>
              <w:t>Insider information disclosure on issue No. 6: On approval of the Plan</w:t>
            </w:r>
          </w:p>
          <w:p w14:paraId="14C5C495" w14:textId="77777777" w:rsidR="006A3C90" w:rsidRPr="00370F80" w:rsidRDefault="00370F80" w:rsidP="00FD521C">
            <w:pPr>
              <w:pStyle w:val="TableParagraph"/>
              <w:ind w:left="0" w:firstLine="431"/>
              <w:jc w:val="both"/>
              <w:rPr>
                <w:b/>
                <w:sz w:val="24"/>
                <w:lang w:val="en-US"/>
              </w:rPr>
            </w:pPr>
            <w:r>
              <w:rPr>
                <w:b/>
                <w:sz w:val="24"/>
                <w:lang w:val="en-US"/>
              </w:rPr>
              <w:lastRenderedPageBreak/>
              <w:t xml:space="preserve"> of measures of IDGC</w:t>
            </w:r>
            <w:r>
              <w:rPr>
                <w:b/>
                <w:sz w:val="24"/>
                <w:lang w:val="en-US"/>
              </w:rPr>
              <w:t xml:space="preserve"> of the South, PJSC, aimed at the prevention and suppression of violations of the requirements of the legislation of the Russian Federation on the electric power industry.</w:t>
            </w:r>
          </w:p>
        </w:tc>
      </w:tr>
      <w:tr w:rsidR="006760E7" w:rsidRPr="00370F80" w14:paraId="598D330F" w14:textId="77777777" w:rsidTr="00FD521C">
        <w:trPr>
          <w:trHeight w:val="20"/>
        </w:trPr>
        <w:tc>
          <w:tcPr>
            <w:tcW w:w="5000" w:type="pct"/>
            <w:gridSpan w:val="7"/>
          </w:tcPr>
          <w:p w14:paraId="3A97104E" w14:textId="77777777" w:rsidR="006A3C90" w:rsidRPr="00370F80" w:rsidRDefault="00370F80" w:rsidP="00FD521C">
            <w:pPr>
              <w:pStyle w:val="TableParagraph"/>
              <w:ind w:left="0" w:firstLine="431"/>
              <w:jc w:val="both"/>
              <w:rPr>
                <w:sz w:val="24"/>
                <w:lang w:val="en-US"/>
              </w:rPr>
            </w:pPr>
            <w:r>
              <w:rPr>
                <w:sz w:val="24"/>
                <w:lang w:val="en-US"/>
              </w:rPr>
              <w:lastRenderedPageBreak/>
              <w:t>2.2.6. Resolution content adopted by the Issuer's Board of Directors:</w:t>
            </w:r>
          </w:p>
          <w:p w14:paraId="5059487E" w14:textId="77777777" w:rsidR="006A3C90" w:rsidRPr="00370F80" w:rsidRDefault="00370F80" w:rsidP="00FD521C">
            <w:pPr>
              <w:pStyle w:val="TableParagraph"/>
              <w:numPr>
                <w:ilvl w:val="0"/>
                <w:numId w:val="2"/>
              </w:numPr>
              <w:tabs>
                <w:tab w:val="left" w:pos="1054"/>
              </w:tabs>
              <w:ind w:left="0" w:firstLine="431"/>
              <w:jc w:val="both"/>
              <w:rPr>
                <w:sz w:val="24"/>
                <w:lang w:val="en-US"/>
              </w:rPr>
            </w:pPr>
            <w:r>
              <w:rPr>
                <w:sz w:val="24"/>
                <w:lang w:val="en-US"/>
              </w:rPr>
              <w:t>Approve the P</w:t>
            </w:r>
            <w:r>
              <w:rPr>
                <w:sz w:val="24"/>
                <w:lang w:val="en-US"/>
              </w:rPr>
              <w:t xml:space="preserve">lan of measures of IDGC of the South, PJSC aimed at the prevention and suppression of violations of the requirements of the legislation of the Russian Federation on the electric power industry in accordance with Annex 9 to this resolution of the Company's </w:t>
            </w:r>
            <w:r>
              <w:rPr>
                <w:sz w:val="24"/>
                <w:lang w:val="en-US"/>
              </w:rPr>
              <w:t>Board of Directors.</w:t>
            </w:r>
          </w:p>
          <w:p w14:paraId="0C3EF78C" w14:textId="77777777" w:rsidR="006A3C90" w:rsidRPr="00370F80" w:rsidRDefault="00370F80" w:rsidP="00FD521C">
            <w:pPr>
              <w:pStyle w:val="TableParagraph"/>
              <w:numPr>
                <w:ilvl w:val="0"/>
                <w:numId w:val="2"/>
              </w:numPr>
              <w:tabs>
                <w:tab w:val="left" w:pos="898"/>
              </w:tabs>
              <w:ind w:left="0" w:firstLine="431"/>
              <w:jc w:val="both"/>
              <w:rPr>
                <w:sz w:val="24"/>
                <w:lang w:val="en-US"/>
              </w:rPr>
            </w:pPr>
            <w:r>
              <w:rPr>
                <w:sz w:val="24"/>
                <w:lang w:val="en-US"/>
              </w:rPr>
              <w:t>Provide the General Director of IDGC of the South, PJSC with consideration by the Company's Board of Directors (with preliminary consideration by the Committee for Technological Connection to Power Grids of the Board of Directors of the</w:t>
            </w:r>
            <w:r>
              <w:rPr>
                <w:sz w:val="24"/>
                <w:lang w:val="en-US"/>
              </w:rPr>
              <w:t xml:space="preserve"> Company) of reports on the progress of implementation of the Action Plan of IDGC of the South, PJSC, aimed at preventing and suppressing violations of the requirements of the Russian legislation on electric power industry.</w:t>
            </w:r>
          </w:p>
          <w:p w14:paraId="66AB6D4E" w14:textId="77777777" w:rsidR="006A3C90" w:rsidRPr="00370F80" w:rsidRDefault="00370F80" w:rsidP="00FD521C">
            <w:pPr>
              <w:pStyle w:val="TableParagraph"/>
              <w:ind w:left="0" w:firstLine="431"/>
              <w:jc w:val="both"/>
              <w:rPr>
                <w:sz w:val="24"/>
                <w:lang w:val="en-US"/>
              </w:rPr>
            </w:pPr>
            <w:r>
              <w:rPr>
                <w:sz w:val="24"/>
                <w:lang w:val="en-US"/>
              </w:rPr>
              <w:t xml:space="preserve">Deadline: quarterly, </w:t>
            </w:r>
            <w:r>
              <w:rPr>
                <w:sz w:val="24"/>
                <w:lang w:val="en-US"/>
              </w:rPr>
              <w:t>starting in the Q1 2019.</w:t>
            </w:r>
          </w:p>
        </w:tc>
      </w:tr>
      <w:tr w:rsidR="006760E7" w:rsidRPr="00370F80" w14:paraId="2EB37E78" w14:textId="77777777" w:rsidTr="00186E9D">
        <w:trPr>
          <w:trHeight w:val="20"/>
        </w:trPr>
        <w:tc>
          <w:tcPr>
            <w:tcW w:w="5000" w:type="pct"/>
            <w:gridSpan w:val="7"/>
            <w:tcBorders>
              <w:bottom w:val="single" w:sz="4" w:space="0" w:color="000000"/>
            </w:tcBorders>
          </w:tcPr>
          <w:p w14:paraId="18ECAB9B" w14:textId="77777777" w:rsidR="006A3C90" w:rsidRPr="00370F80" w:rsidRDefault="00370F80" w:rsidP="00FD521C">
            <w:pPr>
              <w:pStyle w:val="TableParagraph"/>
              <w:numPr>
                <w:ilvl w:val="1"/>
                <w:numId w:val="1"/>
              </w:numPr>
              <w:tabs>
                <w:tab w:val="left" w:pos="559"/>
              </w:tabs>
              <w:ind w:left="0" w:firstLine="0"/>
              <w:jc w:val="both"/>
              <w:rPr>
                <w:b/>
                <w:i/>
                <w:sz w:val="24"/>
                <w:lang w:val="en-US"/>
              </w:rPr>
            </w:pPr>
            <w:r>
              <w:rPr>
                <w:sz w:val="24"/>
                <w:lang w:val="en-US"/>
              </w:rPr>
              <w:t xml:space="preserve">Date of the meeting of the Issuer's Board of Directors at which the relevant resolutions were adopted: </w:t>
            </w:r>
            <w:r>
              <w:rPr>
                <w:b/>
                <w:i/>
                <w:sz w:val="24"/>
                <w:lang w:val="en-US"/>
              </w:rPr>
              <w:t>March 20, 2019.</w:t>
            </w:r>
          </w:p>
          <w:p w14:paraId="4A801507" w14:textId="77777777" w:rsidR="006A3C90" w:rsidRPr="00370F80" w:rsidRDefault="00370F80" w:rsidP="00FD521C">
            <w:pPr>
              <w:pStyle w:val="TableParagraph"/>
              <w:numPr>
                <w:ilvl w:val="1"/>
                <w:numId w:val="1"/>
              </w:numPr>
              <w:tabs>
                <w:tab w:val="left" w:pos="648"/>
              </w:tabs>
              <w:ind w:left="0" w:firstLine="0"/>
              <w:jc w:val="both"/>
              <w:rPr>
                <w:b/>
                <w:i/>
                <w:sz w:val="24"/>
                <w:lang w:val="en-US"/>
              </w:rPr>
            </w:pPr>
            <w:r>
              <w:rPr>
                <w:sz w:val="24"/>
                <w:lang w:val="en-US"/>
              </w:rPr>
              <w:t xml:space="preserve">Date and number of the minutes of the meeting of the Issuer's Board of Directors at which the relevant resolutions were adopted: </w:t>
            </w:r>
            <w:r>
              <w:rPr>
                <w:b/>
                <w:i/>
                <w:sz w:val="24"/>
                <w:lang w:val="en-US"/>
              </w:rPr>
              <w:t>March 25, 2019, Minutes No. 306/2019.</w:t>
            </w:r>
          </w:p>
        </w:tc>
      </w:tr>
      <w:tr w:rsidR="006760E7" w14:paraId="351FF9D5" w14:textId="77777777" w:rsidTr="00186E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000" w:type="pct"/>
            <w:gridSpan w:val="7"/>
            <w:tcBorders>
              <w:top w:val="single" w:sz="4" w:space="0" w:color="000000"/>
              <w:left w:val="single" w:sz="4" w:space="0" w:color="000000"/>
              <w:bottom w:val="single" w:sz="4" w:space="0" w:color="auto"/>
              <w:right w:val="single" w:sz="4" w:space="0" w:color="000000"/>
            </w:tcBorders>
          </w:tcPr>
          <w:p w14:paraId="37077BAA" w14:textId="77777777" w:rsidR="00FD521C" w:rsidRDefault="00370F80" w:rsidP="00327AEE">
            <w:pPr>
              <w:pStyle w:val="TableParagraph"/>
              <w:ind w:left="0"/>
              <w:jc w:val="center"/>
              <w:rPr>
                <w:sz w:val="24"/>
              </w:rPr>
            </w:pPr>
            <w:r>
              <w:rPr>
                <w:sz w:val="24"/>
                <w:lang w:val="en-US"/>
              </w:rPr>
              <w:t>3. Signature</w:t>
            </w:r>
          </w:p>
        </w:tc>
      </w:tr>
      <w:tr w:rsidR="006760E7" w14:paraId="509F8E6F" w14:textId="77777777" w:rsidTr="00186E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3"/>
        </w:trPr>
        <w:tc>
          <w:tcPr>
            <w:tcW w:w="2822" w:type="pct"/>
            <w:gridSpan w:val="5"/>
            <w:vMerge w:val="restart"/>
            <w:tcBorders>
              <w:top w:val="single" w:sz="4" w:space="0" w:color="auto"/>
              <w:left w:val="single" w:sz="4" w:space="0" w:color="000000"/>
            </w:tcBorders>
          </w:tcPr>
          <w:p w14:paraId="26C02863" w14:textId="77777777" w:rsidR="00FD521C" w:rsidRPr="00370F80" w:rsidRDefault="00370F80" w:rsidP="00327AEE">
            <w:pPr>
              <w:pStyle w:val="TableParagraph"/>
              <w:ind w:left="0"/>
              <w:rPr>
                <w:lang w:val="en-US"/>
              </w:rPr>
            </w:pPr>
            <w:r>
              <w:rPr>
                <w:sz w:val="24"/>
                <w:lang w:val="en-US"/>
              </w:rPr>
              <w:t xml:space="preserve">3.1. Head of Corporate Governance and Shareholder Relations </w:t>
            </w:r>
            <w:r>
              <w:rPr>
                <w:sz w:val="24"/>
                <w:lang w:val="en-US"/>
              </w:rPr>
              <w:t>Department (by proxy No. 86-19 dated January 1, 2019)</w:t>
            </w:r>
          </w:p>
        </w:tc>
        <w:tc>
          <w:tcPr>
            <w:tcW w:w="733" w:type="pct"/>
            <w:tcBorders>
              <w:top w:val="single" w:sz="4" w:space="0" w:color="auto"/>
              <w:bottom w:val="single" w:sz="4" w:space="0" w:color="auto"/>
            </w:tcBorders>
          </w:tcPr>
          <w:p w14:paraId="34DA26CC" w14:textId="77777777" w:rsidR="00FD521C" w:rsidRPr="00370F80" w:rsidRDefault="00370F80" w:rsidP="00327AEE">
            <w:pPr>
              <w:pStyle w:val="TableParagraph"/>
              <w:tabs>
                <w:tab w:val="left" w:pos="5729"/>
                <w:tab w:val="left" w:pos="5854"/>
                <w:tab w:val="left" w:pos="7224"/>
                <w:tab w:val="left" w:pos="7774"/>
              </w:tabs>
              <w:ind w:left="0"/>
              <w:rPr>
                <w:lang w:val="en-US"/>
              </w:rPr>
            </w:pPr>
          </w:p>
        </w:tc>
        <w:tc>
          <w:tcPr>
            <w:tcW w:w="1445" w:type="pct"/>
            <w:tcBorders>
              <w:top w:val="single" w:sz="4" w:space="0" w:color="auto"/>
              <w:right w:val="single" w:sz="4" w:space="0" w:color="000000"/>
            </w:tcBorders>
            <w:vAlign w:val="bottom"/>
          </w:tcPr>
          <w:p w14:paraId="300F28DE" w14:textId="77777777" w:rsidR="00FD521C" w:rsidRDefault="00370F80" w:rsidP="00327AEE">
            <w:pPr>
              <w:pStyle w:val="TableParagraph"/>
              <w:tabs>
                <w:tab w:val="left" w:pos="5729"/>
                <w:tab w:val="left" w:pos="5854"/>
                <w:tab w:val="left" w:pos="7224"/>
                <w:tab w:val="left" w:pos="7774"/>
              </w:tabs>
              <w:ind w:left="0"/>
            </w:pPr>
            <w:r>
              <w:rPr>
                <w:sz w:val="24"/>
                <w:lang w:val="en-US"/>
              </w:rPr>
              <w:t>Pavlova E.N.</w:t>
            </w:r>
          </w:p>
        </w:tc>
      </w:tr>
      <w:tr w:rsidR="006760E7" w14:paraId="2519784E" w14:textId="77777777" w:rsidTr="00327A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2"/>
        </w:trPr>
        <w:tc>
          <w:tcPr>
            <w:tcW w:w="2822" w:type="pct"/>
            <w:gridSpan w:val="5"/>
            <w:vMerge/>
            <w:tcBorders>
              <w:left w:val="single" w:sz="4" w:space="0" w:color="000000"/>
            </w:tcBorders>
          </w:tcPr>
          <w:p w14:paraId="14282499" w14:textId="77777777" w:rsidR="00FD521C" w:rsidRDefault="00370F80" w:rsidP="00327AEE">
            <w:pPr>
              <w:pStyle w:val="TableParagraph"/>
              <w:tabs>
                <w:tab w:val="left" w:pos="5729"/>
                <w:tab w:val="left" w:pos="5854"/>
                <w:tab w:val="left" w:pos="7224"/>
                <w:tab w:val="left" w:pos="7774"/>
              </w:tabs>
              <w:ind w:left="0"/>
              <w:rPr>
                <w:sz w:val="24"/>
              </w:rPr>
            </w:pPr>
          </w:p>
        </w:tc>
        <w:tc>
          <w:tcPr>
            <w:tcW w:w="733" w:type="pct"/>
          </w:tcPr>
          <w:p w14:paraId="6310C71D" w14:textId="5C1E4837" w:rsidR="00FD521C" w:rsidRDefault="00370F80" w:rsidP="00327AEE">
            <w:pPr>
              <w:pStyle w:val="TableParagraph"/>
              <w:tabs>
                <w:tab w:val="left" w:pos="5729"/>
                <w:tab w:val="left" w:pos="5854"/>
                <w:tab w:val="left" w:pos="7224"/>
                <w:tab w:val="left" w:pos="7774"/>
              </w:tabs>
              <w:ind w:left="0"/>
            </w:pPr>
            <w:r>
              <w:rPr>
                <w:sz w:val="24"/>
                <w:lang w:val="en-US"/>
              </w:rPr>
              <w:t>(signature) L</w:t>
            </w:r>
            <w:r>
              <w:rPr>
                <w:lang w:val="en-US"/>
              </w:rPr>
              <w:t>.S</w:t>
            </w:r>
            <w:bookmarkStart w:id="0" w:name="_GoBack"/>
            <w:bookmarkEnd w:id="0"/>
            <w:r>
              <w:rPr>
                <w:lang w:val="en-US"/>
              </w:rPr>
              <w:t>.</w:t>
            </w:r>
          </w:p>
        </w:tc>
        <w:tc>
          <w:tcPr>
            <w:tcW w:w="1445" w:type="pct"/>
            <w:tcBorders>
              <w:right w:val="single" w:sz="4" w:space="0" w:color="000000"/>
            </w:tcBorders>
          </w:tcPr>
          <w:p w14:paraId="15B392F5" w14:textId="77777777" w:rsidR="00FD521C" w:rsidRDefault="00370F80" w:rsidP="00327AEE">
            <w:pPr>
              <w:pStyle w:val="TableParagraph"/>
              <w:tabs>
                <w:tab w:val="left" w:pos="5729"/>
                <w:tab w:val="left" w:pos="5854"/>
                <w:tab w:val="left" w:pos="7224"/>
                <w:tab w:val="left" w:pos="7774"/>
              </w:tabs>
              <w:ind w:left="0"/>
            </w:pPr>
          </w:p>
        </w:tc>
      </w:tr>
      <w:tr w:rsidR="006760E7" w14:paraId="3A70731B" w14:textId="77777777" w:rsidTr="00327A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632" w:type="pct"/>
            <w:tcBorders>
              <w:left w:val="single" w:sz="4" w:space="0" w:color="000000"/>
              <w:bottom w:val="single" w:sz="4" w:space="0" w:color="000000"/>
            </w:tcBorders>
          </w:tcPr>
          <w:p w14:paraId="5D28FDC2" w14:textId="77777777" w:rsidR="00FD521C" w:rsidRDefault="00370F80" w:rsidP="00327AEE">
            <w:pPr>
              <w:pStyle w:val="TableParagraph"/>
              <w:ind w:left="0"/>
              <w:rPr>
                <w:sz w:val="24"/>
              </w:rPr>
            </w:pPr>
            <w:r>
              <w:rPr>
                <w:sz w:val="24"/>
                <w:lang w:val="en-US"/>
              </w:rPr>
              <w:t>3.2. Date</w:t>
            </w:r>
          </w:p>
        </w:tc>
        <w:tc>
          <w:tcPr>
            <w:tcW w:w="467" w:type="pct"/>
            <w:tcBorders>
              <w:bottom w:val="single" w:sz="4" w:space="0" w:color="000000"/>
            </w:tcBorders>
          </w:tcPr>
          <w:p w14:paraId="089BE8E0" w14:textId="77777777" w:rsidR="00FD521C" w:rsidRPr="00F33787" w:rsidRDefault="00370F80" w:rsidP="00FD521C">
            <w:pPr>
              <w:pStyle w:val="TableParagraph"/>
              <w:ind w:left="0"/>
              <w:rPr>
                <w:sz w:val="24"/>
              </w:rPr>
            </w:pPr>
            <w:r w:rsidRPr="00F33787">
              <w:rPr>
                <w:sz w:val="24"/>
                <w:lang w:val="en-US"/>
              </w:rPr>
              <w:t>March</w:t>
            </w:r>
          </w:p>
        </w:tc>
        <w:tc>
          <w:tcPr>
            <w:tcW w:w="668" w:type="pct"/>
            <w:tcBorders>
              <w:bottom w:val="single" w:sz="4" w:space="0" w:color="000000"/>
            </w:tcBorders>
          </w:tcPr>
          <w:p w14:paraId="60419458" w14:textId="77777777" w:rsidR="00FD521C" w:rsidRPr="00F33787" w:rsidRDefault="00370F80" w:rsidP="00327AEE">
            <w:pPr>
              <w:pStyle w:val="TableParagraph"/>
              <w:ind w:left="0"/>
              <w:rPr>
                <w:sz w:val="24"/>
              </w:rPr>
            </w:pPr>
            <w:r>
              <w:rPr>
                <w:sz w:val="24"/>
                <w:lang w:val="en-US"/>
              </w:rPr>
              <w:t>"26",</w:t>
            </w:r>
          </w:p>
        </w:tc>
        <w:tc>
          <w:tcPr>
            <w:tcW w:w="3233" w:type="pct"/>
            <w:gridSpan w:val="4"/>
            <w:tcBorders>
              <w:bottom w:val="single" w:sz="4" w:space="0" w:color="000000"/>
              <w:right w:val="single" w:sz="4" w:space="0" w:color="000000"/>
            </w:tcBorders>
          </w:tcPr>
          <w:p w14:paraId="4EE4CBEF" w14:textId="77777777" w:rsidR="00FD521C" w:rsidRPr="00F33787" w:rsidRDefault="00370F80" w:rsidP="00327AEE">
            <w:pPr>
              <w:pStyle w:val="TableParagraph"/>
              <w:spacing w:after="120"/>
              <w:ind w:left="0"/>
              <w:rPr>
                <w:sz w:val="24"/>
              </w:rPr>
            </w:pPr>
            <w:r w:rsidRPr="00F33787">
              <w:rPr>
                <w:sz w:val="24"/>
                <w:lang w:val="en-US"/>
              </w:rPr>
              <w:t>2019</w:t>
            </w:r>
          </w:p>
        </w:tc>
      </w:tr>
    </w:tbl>
    <w:p w14:paraId="06FCA023" w14:textId="77777777" w:rsidR="00FD521C" w:rsidRDefault="00370F80" w:rsidP="00FD521C"/>
    <w:sectPr w:rsidR="00FD521C" w:rsidSect="00FD521C">
      <w:headerReference w:type="default" r:id="rId10"/>
      <w:pgSz w:w="11910" w:h="16850"/>
      <w:pgMar w:top="1115" w:right="1080" w:bottom="1440" w:left="1080" w:header="725"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32ED2E" w14:textId="77777777" w:rsidR="00000000" w:rsidRDefault="00370F80">
      <w:r>
        <w:separator/>
      </w:r>
    </w:p>
  </w:endnote>
  <w:endnote w:type="continuationSeparator" w:id="0">
    <w:p w14:paraId="5B041311" w14:textId="77777777" w:rsidR="00000000" w:rsidRDefault="00370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982393" w14:textId="77777777" w:rsidR="00000000" w:rsidRDefault="00370F80">
      <w:r>
        <w:separator/>
      </w:r>
    </w:p>
  </w:footnote>
  <w:footnote w:type="continuationSeparator" w:id="0">
    <w:p w14:paraId="4E07F8FB" w14:textId="77777777" w:rsidR="00000000" w:rsidRDefault="00370F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A7113E" w14:textId="77777777" w:rsidR="006A3C90" w:rsidRDefault="00370F80" w:rsidP="00FD521C">
    <w:pPr>
      <w:pStyle w:val="a5"/>
      <w:jc w:val="right"/>
    </w:pPr>
    <w:r>
      <w:fldChar w:fldCharType="begin"/>
    </w:r>
    <w:r>
      <w:instrText xml:space="preserve"> PAGE   \* MERGEFORMAT </w:instrText>
    </w:r>
    <w:r>
      <w:fldChar w:fldCharType="separate"/>
    </w:r>
    <w:r>
      <w:rPr>
        <w:noProof/>
      </w:rPr>
      <w:t>4</w:t>
    </w:r>
    <w:r>
      <w:rPr>
        <w:noProof/>
      </w:rPr>
      <w:fldChar w:fldCharType="end"/>
    </w:r>
  </w:p>
  <w:p w14:paraId="274D5D0E" w14:textId="77777777" w:rsidR="00FD521C" w:rsidRPr="00FD521C" w:rsidRDefault="00370F80" w:rsidP="00FD521C">
    <w:pPr>
      <w:pStyle w:val="a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4F782D"/>
    <w:multiLevelType w:val="hybridMultilevel"/>
    <w:tmpl w:val="55786DB4"/>
    <w:lvl w:ilvl="0" w:tplc="999C679A">
      <w:numFmt w:val="bullet"/>
      <w:lvlText w:val="-"/>
      <w:lvlJc w:val="left"/>
      <w:pPr>
        <w:ind w:left="26" w:hanging="240"/>
      </w:pPr>
      <w:rPr>
        <w:rFonts w:ascii="Times New Roman" w:eastAsia="Times New Roman" w:hAnsi="Times New Roman" w:cs="Times New Roman" w:hint="default"/>
        <w:spacing w:val="-21"/>
        <w:w w:val="99"/>
        <w:sz w:val="24"/>
        <w:szCs w:val="24"/>
        <w:lang w:val="ru-RU" w:eastAsia="ru-RU" w:bidi="ru-RU"/>
      </w:rPr>
    </w:lvl>
    <w:lvl w:ilvl="1" w:tplc="D898B9AC">
      <w:numFmt w:val="bullet"/>
      <w:lvlText w:val="•"/>
      <w:lvlJc w:val="left"/>
      <w:pPr>
        <w:ind w:left="981" w:hanging="240"/>
      </w:pPr>
      <w:rPr>
        <w:rFonts w:hint="default"/>
        <w:lang w:val="ru-RU" w:eastAsia="ru-RU" w:bidi="ru-RU"/>
      </w:rPr>
    </w:lvl>
    <w:lvl w:ilvl="2" w:tplc="8B747F74">
      <w:numFmt w:val="bullet"/>
      <w:lvlText w:val="•"/>
      <w:lvlJc w:val="left"/>
      <w:pPr>
        <w:ind w:left="1942" w:hanging="240"/>
      </w:pPr>
      <w:rPr>
        <w:rFonts w:hint="default"/>
        <w:lang w:val="ru-RU" w:eastAsia="ru-RU" w:bidi="ru-RU"/>
      </w:rPr>
    </w:lvl>
    <w:lvl w:ilvl="3" w:tplc="130AACF0">
      <w:numFmt w:val="bullet"/>
      <w:lvlText w:val="•"/>
      <w:lvlJc w:val="left"/>
      <w:pPr>
        <w:ind w:left="2903" w:hanging="240"/>
      </w:pPr>
      <w:rPr>
        <w:rFonts w:hint="default"/>
        <w:lang w:val="ru-RU" w:eastAsia="ru-RU" w:bidi="ru-RU"/>
      </w:rPr>
    </w:lvl>
    <w:lvl w:ilvl="4" w:tplc="0A2EC404">
      <w:numFmt w:val="bullet"/>
      <w:lvlText w:val="•"/>
      <w:lvlJc w:val="left"/>
      <w:pPr>
        <w:ind w:left="3864" w:hanging="240"/>
      </w:pPr>
      <w:rPr>
        <w:rFonts w:hint="default"/>
        <w:lang w:val="ru-RU" w:eastAsia="ru-RU" w:bidi="ru-RU"/>
      </w:rPr>
    </w:lvl>
    <w:lvl w:ilvl="5" w:tplc="5C4E6F1A">
      <w:numFmt w:val="bullet"/>
      <w:lvlText w:val="•"/>
      <w:lvlJc w:val="left"/>
      <w:pPr>
        <w:ind w:left="4825" w:hanging="240"/>
      </w:pPr>
      <w:rPr>
        <w:rFonts w:hint="default"/>
        <w:lang w:val="ru-RU" w:eastAsia="ru-RU" w:bidi="ru-RU"/>
      </w:rPr>
    </w:lvl>
    <w:lvl w:ilvl="6" w:tplc="B4720E88">
      <w:numFmt w:val="bullet"/>
      <w:lvlText w:val="•"/>
      <w:lvlJc w:val="left"/>
      <w:pPr>
        <w:ind w:left="5786" w:hanging="240"/>
      </w:pPr>
      <w:rPr>
        <w:rFonts w:hint="default"/>
        <w:lang w:val="ru-RU" w:eastAsia="ru-RU" w:bidi="ru-RU"/>
      </w:rPr>
    </w:lvl>
    <w:lvl w:ilvl="7" w:tplc="F9DAED10">
      <w:numFmt w:val="bullet"/>
      <w:lvlText w:val="•"/>
      <w:lvlJc w:val="left"/>
      <w:pPr>
        <w:ind w:left="6747" w:hanging="240"/>
      </w:pPr>
      <w:rPr>
        <w:rFonts w:hint="default"/>
        <w:lang w:val="ru-RU" w:eastAsia="ru-RU" w:bidi="ru-RU"/>
      </w:rPr>
    </w:lvl>
    <w:lvl w:ilvl="8" w:tplc="2B70EF68">
      <w:numFmt w:val="bullet"/>
      <w:lvlText w:val="•"/>
      <w:lvlJc w:val="left"/>
      <w:pPr>
        <w:ind w:left="7708" w:hanging="240"/>
      </w:pPr>
      <w:rPr>
        <w:rFonts w:hint="default"/>
        <w:lang w:val="ru-RU" w:eastAsia="ru-RU" w:bidi="ru-RU"/>
      </w:rPr>
    </w:lvl>
  </w:abstractNum>
  <w:abstractNum w:abstractNumId="1" w15:restartNumberingAfterBreak="0">
    <w:nsid w:val="2CEC1BA4"/>
    <w:multiLevelType w:val="multilevel"/>
    <w:tmpl w:val="AA724EF8"/>
    <w:lvl w:ilvl="0">
      <w:start w:val="2"/>
      <w:numFmt w:val="decimal"/>
      <w:lvlText w:val="%1"/>
      <w:lvlJc w:val="left"/>
      <w:pPr>
        <w:ind w:left="139" w:hanging="420"/>
        <w:jc w:val="left"/>
      </w:pPr>
      <w:rPr>
        <w:rFonts w:hint="default"/>
        <w:lang w:val="ru-RU" w:eastAsia="ru-RU" w:bidi="ru-RU"/>
      </w:rPr>
    </w:lvl>
    <w:lvl w:ilvl="1">
      <w:start w:val="4"/>
      <w:numFmt w:val="decimal"/>
      <w:lvlText w:val="%1.%2."/>
      <w:lvlJc w:val="left"/>
      <w:pPr>
        <w:ind w:left="139" w:hanging="420"/>
        <w:jc w:val="left"/>
      </w:pPr>
      <w:rPr>
        <w:rFonts w:ascii="Times New Roman" w:eastAsia="Times New Roman" w:hAnsi="Times New Roman" w:cs="Times New Roman" w:hint="default"/>
        <w:b w:val="0"/>
        <w:i w:val="0"/>
        <w:spacing w:val="0"/>
        <w:w w:val="100"/>
        <w:sz w:val="24"/>
        <w:szCs w:val="24"/>
        <w:lang w:val="ru-RU" w:eastAsia="ru-RU" w:bidi="ru-RU"/>
      </w:rPr>
    </w:lvl>
    <w:lvl w:ilvl="2">
      <w:numFmt w:val="bullet"/>
      <w:lvlText w:val="•"/>
      <w:lvlJc w:val="left"/>
      <w:pPr>
        <w:ind w:left="2038" w:hanging="420"/>
      </w:pPr>
      <w:rPr>
        <w:rFonts w:hint="default"/>
        <w:lang w:val="ru-RU" w:eastAsia="ru-RU" w:bidi="ru-RU"/>
      </w:rPr>
    </w:lvl>
    <w:lvl w:ilvl="3">
      <w:numFmt w:val="bullet"/>
      <w:lvlText w:val="•"/>
      <w:lvlJc w:val="left"/>
      <w:pPr>
        <w:ind w:left="2987" w:hanging="420"/>
      </w:pPr>
      <w:rPr>
        <w:rFonts w:hint="default"/>
        <w:lang w:val="ru-RU" w:eastAsia="ru-RU" w:bidi="ru-RU"/>
      </w:rPr>
    </w:lvl>
    <w:lvl w:ilvl="4">
      <w:numFmt w:val="bullet"/>
      <w:lvlText w:val="•"/>
      <w:lvlJc w:val="left"/>
      <w:pPr>
        <w:ind w:left="3936" w:hanging="420"/>
      </w:pPr>
      <w:rPr>
        <w:rFonts w:hint="default"/>
        <w:lang w:val="ru-RU" w:eastAsia="ru-RU" w:bidi="ru-RU"/>
      </w:rPr>
    </w:lvl>
    <w:lvl w:ilvl="5">
      <w:numFmt w:val="bullet"/>
      <w:lvlText w:val="•"/>
      <w:lvlJc w:val="left"/>
      <w:pPr>
        <w:ind w:left="4885" w:hanging="420"/>
      </w:pPr>
      <w:rPr>
        <w:rFonts w:hint="default"/>
        <w:lang w:val="ru-RU" w:eastAsia="ru-RU" w:bidi="ru-RU"/>
      </w:rPr>
    </w:lvl>
    <w:lvl w:ilvl="6">
      <w:numFmt w:val="bullet"/>
      <w:lvlText w:val="•"/>
      <w:lvlJc w:val="left"/>
      <w:pPr>
        <w:ind w:left="5834" w:hanging="420"/>
      </w:pPr>
      <w:rPr>
        <w:rFonts w:hint="default"/>
        <w:lang w:val="ru-RU" w:eastAsia="ru-RU" w:bidi="ru-RU"/>
      </w:rPr>
    </w:lvl>
    <w:lvl w:ilvl="7">
      <w:numFmt w:val="bullet"/>
      <w:lvlText w:val="•"/>
      <w:lvlJc w:val="left"/>
      <w:pPr>
        <w:ind w:left="6783" w:hanging="420"/>
      </w:pPr>
      <w:rPr>
        <w:rFonts w:hint="default"/>
        <w:lang w:val="ru-RU" w:eastAsia="ru-RU" w:bidi="ru-RU"/>
      </w:rPr>
    </w:lvl>
    <w:lvl w:ilvl="8">
      <w:numFmt w:val="bullet"/>
      <w:lvlText w:val="•"/>
      <w:lvlJc w:val="left"/>
      <w:pPr>
        <w:ind w:left="7732" w:hanging="420"/>
      </w:pPr>
      <w:rPr>
        <w:rFonts w:hint="default"/>
        <w:lang w:val="ru-RU" w:eastAsia="ru-RU" w:bidi="ru-RU"/>
      </w:rPr>
    </w:lvl>
  </w:abstractNum>
  <w:abstractNum w:abstractNumId="2" w15:restartNumberingAfterBreak="0">
    <w:nsid w:val="4A431FB3"/>
    <w:multiLevelType w:val="hybridMultilevel"/>
    <w:tmpl w:val="B952FA8E"/>
    <w:lvl w:ilvl="0" w:tplc="DB4ED7A2">
      <w:start w:val="1"/>
      <w:numFmt w:val="decimal"/>
      <w:lvlText w:val="%1."/>
      <w:lvlJc w:val="left"/>
      <w:pPr>
        <w:ind w:left="26" w:hanging="461"/>
        <w:jc w:val="left"/>
      </w:pPr>
      <w:rPr>
        <w:rFonts w:ascii="Times New Roman" w:eastAsia="Times New Roman" w:hAnsi="Times New Roman" w:cs="Times New Roman" w:hint="default"/>
        <w:spacing w:val="-30"/>
        <w:w w:val="100"/>
        <w:sz w:val="24"/>
        <w:szCs w:val="24"/>
        <w:lang w:val="ru-RU" w:eastAsia="ru-RU" w:bidi="ru-RU"/>
      </w:rPr>
    </w:lvl>
    <w:lvl w:ilvl="1" w:tplc="F4C61514">
      <w:numFmt w:val="bullet"/>
      <w:lvlText w:val="•"/>
      <w:lvlJc w:val="left"/>
      <w:pPr>
        <w:ind w:left="981" w:hanging="461"/>
      </w:pPr>
      <w:rPr>
        <w:rFonts w:hint="default"/>
        <w:lang w:val="ru-RU" w:eastAsia="ru-RU" w:bidi="ru-RU"/>
      </w:rPr>
    </w:lvl>
    <w:lvl w:ilvl="2" w:tplc="F0D22E76">
      <w:numFmt w:val="bullet"/>
      <w:lvlText w:val="•"/>
      <w:lvlJc w:val="left"/>
      <w:pPr>
        <w:ind w:left="1942" w:hanging="461"/>
      </w:pPr>
      <w:rPr>
        <w:rFonts w:hint="default"/>
        <w:lang w:val="ru-RU" w:eastAsia="ru-RU" w:bidi="ru-RU"/>
      </w:rPr>
    </w:lvl>
    <w:lvl w:ilvl="3" w:tplc="EEB2AF5E">
      <w:numFmt w:val="bullet"/>
      <w:lvlText w:val="•"/>
      <w:lvlJc w:val="left"/>
      <w:pPr>
        <w:ind w:left="2903" w:hanging="461"/>
      </w:pPr>
      <w:rPr>
        <w:rFonts w:hint="default"/>
        <w:lang w:val="ru-RU" w:eastAsia="ru-RU" w:bidi="ru-RU"/>
      </w:rPr>
    </w:lvl>
    <w:lvl w:ilvl="4" w:tplc="393AC6D8">
      <w:numFmt w:val="bullet"/>
      <w:lvlText w:val="•"/>
      <w:lvlJc w:val="left"/>
      <w:pPr>
        <w:ind w:left="3864" w:hanging="461"/>
      </w:pPr>
      <w:rPr>
        <w:rFonts w:hint="default"/>
        <w:lang w:val="ru-RU" w:eastAsia="ru-RU" w:bidi="ru-RU"/>
      </w:rPr>
    </w:lvl>
    <w:lvl w:ilvl="5" w:tplc="C4EABD00">
      <w:numFmt w:val="bullet"/>
      <w:lvlText w:val="•"/>
      <w:lvlJc w:val="left"/>
      <w:pPr>
        <w:ind w:left="4825" w:hanging="461"/>
      </w:pPr>
      <w:rPr>
        <w:rFonts w:hint="default"/>
        <w:lang w:val="ru-RU" w:eastAsia="ru-RU" w:bidi="ru-RU"/>
      </w:rPr>
    </w:lvl>
    <w:lvl w:ilvl="6" w:tplc="3D565B28">
      <w:numFmt w:val="bullet"/>
      <w:lvlText w:val="•"/>
      <w:lvlJc w:val="left"/>
      <w:pPr>
        <w:ind w:left="5786" w:hanging="461"/>
      </w:pPr>
      <w:rPr>
        <w:rFonts w:hint="default"/>
        <w:lang w:val="ru-RU" w:eastAsia="ru-RU" w:bidi="ru-RU"/>
      </w:rPr>
    </w:lvl>
    <w:lvl w:ilvl="7" w:tplc="97F2CE38">
      <w:numFmt w:val="bullet"/>
      <w:lvlText w:val="•"/>
      <w:lvlJc w:val="left"/>
      <w:pPr>
        <w:ind w:left="6747" w:hanging="461"/>
      </w:pPr>
      <w:rPr>
        <w:rFonts w:hint="default"/>
        <w:lang w:val="ru-RU" w:eastAsia="ru-RU" w:bidi="ru-RU"/>
      </w:rPr>
    </w:lvl>
    <w:lvl w:ilvl="8" w:tplc="F2761984">
      <w:numFmt w:val="bullet"/>
      <w:lvlText w:val="•"/>
      <w:lvlJc w:val="left"/>
      <w:pPr>
        <w:ind w:left="7708" w:hanging="461"/>
      </w:pPr>
      <w:rPr>
        <w:rFonts w:hint="default"/>
        <w:lang w:val="ru-RU" w:eastAsia="ru-RU" w:bidi="ru-RU"/>
      </w:rPr>
    </w:lvl>
  </w:abstractNum>
  <w:abstractNum w:abstractNumId="3" w15:restartNumberingAfterBreak="0">
    <w:nsid w:val="4F163F21"/>
    <w:multiLevelType w:val="hybridMultilevel"/>
    <w:tmpl w:val="1870F990"/>
    <w:lvl w:ilvl="0" w:tplc="EF426062">
      <w:numFmt w:val="bullet"/>
      <w:lvlText w:val="-"/>
      <w:lvlJc w:val="left"/>
      <w:pPr>
        <w:ind w:left="26" w:hanging="156"/>
      </w:pPr>
      <w:rPr>
        <w:rFonts w:ascii="Times New Roman" w:eastAsia="Times New Roman" w:hAnsi="Times New Roman" w:cs="Times New Roman" w:hint="default"/>
        <w:w w:val="99"/>
        <w:sz w:val="24"/>
        <w:szCs w:val="24"/>
        <w:lang w:val="ru-RU" w:eastAsia="ru-RU" w:bidi="ru-RU"/>
      </w:rPr>
    </w:lvl>
    <w:lvl w:ilvl="1" w:tplc="FC8E92EE">
      <w:numFmt w:val="bullet"/>
      <w:lvlText w:val="•"/>
      <w:lvlJc w:val="left"/>
      <w:pPr>
        <w:ind w:left="981" w:hanging="156"/>
      </w:pPr>
      <w:rPr>
        <w:rFonts w:hint="default"/>
        <w:lang w:val="ru-RU" w:eastAsia="ru-RU" w:bidi="ru-RU"/>
      </w:rPr>
    </w:lvl>
    <w:lvl w:ilvl="2" w:tplc="28E2D7CA">
      <w:numFmt w:val="bullet"/>
      <w:lvlText w:val="•"/>
      <w:lvlJc w:val="left"/>
      <w:pPr>
        <w:ind w:left="1942" w:hanging="156"/>
      </w:pPr>
      <w:rPr>
        <w:rFonts w:hint="default"/>
        <w:lang w:val="ru-RU" w:eastAsia="ru-RU" w:bidi="ru-RU"/>
      </w:rPr>
    </w:lvl>
    <w:lvl w:ilvl="3" w:tplc="E3CA58B4">
      <w:numFmt w:val="bullet"/>
      <w:lvlText w:val="•"/>
      <w:lvlJc w:val="left"/>
      <w:pPr>
        <w:ind w:left="2903" w:hanging="156"/>
      </w:pPr>
      <w:rPr>
        <w:rFonts w:hint="default"/>
        <w:lang w:val="ru-RU" w:eastAsia="ru-RU" w:bidi="ru-RU"/>
      </w:rPr>
    </w:lvl>
    <w:lvl w:ilvl="4" w:tplc="8E4A1328">
      <w:numFmt w:val="bullet"/>
      <w:lvlText w:val="•"/>
      <w:lvlJc w:val="left"/>
      <w:pPr>
        <w:ind w:left="3864" w:hanging="156"/>
      </w:pPr>
      <w:rPr>
        <w:rFonts w:hint="default"/>
        <w:lang w:val="ru-RU" w:eastAsia="ru-RU" w:bidi="ru-RU"/>
      </w:rPr>
    </w:lvl>
    <w:lvl w:ilvl="5" w:tplc="4C2ED628">
      <w:numFmt w:val="bullet"/>
      <w:lvlText w:val="•"/>
      <w:lvlJc w:val="left"/>
      <w:pPr>
        <w:ind w:left="4825" w:hanging="156"/>
      </w:pPr>
      <w:rPr>
        <w:rFonts w:hint="default"/>
        <w:lang w:val="ru-RU" w:eastAsia="ru-RU" w:bidi="ru-RU"/>
      </w:rPr>
    </w:lvl>
    <w:lvl w:ilvl="6" w:tplc="44EEF01A">
      <w:numFmt w:val="bullet"/>
      <w:lvlText w:val="•"/>
      <w:lvlJc w:val="left"/>
      <w:pPr>
        <w:ind w:left="5786" w:hanging="156"/>
      </w:pPr>
      <w:rPr>
        <w:rFonts w:hint="default"/>
        <w:lang w:val="ru-RU" w:eastAsia="ru-RU" w:bidi="ru-RU"/>
      </w:rPr>
    </w:lvl>
    <w:lvl w:ilvl="7" w:tplc="A53EB370">
      <w:numFmt w:val="bullet"/>
      <w:lvlText w:val="•"/>
      <w:lvlJc w:val="left"/>
      <w:pPr>
        <w:ind w:left="6747" w:hanging="156"/>
      </w:pPr>
      <w:rPr>
        <w:rFonts w:hint="default"/>
        <w:lang w:val="ru-RU" w:eastAsia="ru-RU" w:bidi="ru-RU"/>
      </w:rPr>
    </w:lvl>
    <w:lvl w:ilvl="8" w:tplc="6DBE940E">
      <w:numFmt w:val="bullet"/>
      <w:lvlText w:val="•"/>
      <w:lvlJc w:val="left"/>
      <w:pPr>
        <w:ind w:left="7708" w:hanging="156"/>
      </w:pPr>
      <w:rPr>
        <w:rFonts w:hint="default"/>
        <w:lang w:val="ru-RU" w:eastAsia="ru-RU" w:bidi="ru-RU"/>
      </w:rPr>
    </w:lvl>
  </w:abstractNum>
  <w:abstractNum w:abstractNumId="4" w15:restartNumberingAfterBreak="0">
    <w:nsid w:val="582956A4"/>
    <w:multiLevelType w:val="multilevel"/>
    <w:tmpl w:val="3216074E"/>
    <w:lvl w:ilvl="0">
      <w:start w:val="1"/>
      <w:numFmt w:val="decimal"/>
      <w:lvlText w:val="%1."/>
      <w:lvlJc w:val="left"/>
      <w:pPr>
        <w:ind w:left="26" w:hanging="415"/>
        <w:jc w:val="left"/>
      </w:pPr>
      <w:rPr>
        <w:rFonts w:ascii="Times New Roman" w:eastAsia="Times New Roman" w:hAnsi="Times New Roman" w:cs="Times New Roman" w:hint="default"/>
        <w:spacing w:val="-28"/>
        <w:w w:val="100"/>
        <w:sz w:val="24"/>
        <w:szCs w:val="24"/>
        <w:lang w:val="ru-RU" w:eastAsia="ru-RU" w:bidi="ru-RU"/>
      </w:rPr>
    </w:lvl>
    <w:lvl w:ilvl="1">
      <w:start w:val="1"/>
      <w:numFmt w:val="decimal"/>
      <w:lvlText w:val="%1.%2."/>
      <w:lvlJc w:val="left"/>
      <w:pPr>
        <w:ind w:left="26" w:hanging="442"/>
        <w:jc w:val="left"/>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1942" w:hanging="442"/>
      </w:pPr>
      <w:rPr>
        <w:rFonts w:hint="default"/>
        <w:lang w:val="ru-RU" w:eastAsia="ru-RU" w:bidi="ru-RU"/>
      </w:rPr>
    </w:lvl>
    <w:lvl w:ilvl="3">
      <w:numFmt w:val="bullet"/>
      <w:lvlText w:val="•"/>
      <w:lvlJc w:val="left"/>
      <w:pPr>
        <w:ind w:left="2903" w:hanging="442"/>
      </w:pPr>
      <w:rPr>
        <w:rFonts w:hint="default"/>
        <w:lang w:val="ru-RU" w:eastAsia="ru-RU" w:bidi="ru-RU"/>
      </w:rPr>
    </w:lvl>
    <w:lvl w:ilvl="4">
      <w:numFmt w:val="bullet"/>
      <w:lvlText w:val="•"/>
      <w:lvlJc w:val="left"/>
      <w:pPr>
        <w:ind w:left="3864" w:hanging="442"/>
      </w:pPr>
      <w:rPr>
        <w:rFonts w:hint="default"/>
        <w:lang w:val="ru-RU" w:eastAsia="ru-RU" w:bidi="ru-RU"/>
      </w:rPr>
    </w:lvl>
    <w:lvl w:ilvl="5">
      <w:numFmt w:val="bullet"/>
      <w:lvlText w:val="•"/>
      <w:lvlJc w:val="left"/>
      <w:pPr>
        <w:ind w:left="4825" w:hanging="442"/>
      </w:pPr>
      <w:rPr>
        <w:rFonts w:hint="default"/>
        <w:lang w:val="ru-RU" w:eastAsia="ru-RU" w:bidi="ru-RU"/>
      </w:rPr>
    </w:lvl>
    <w:lvl w:ilvl="6">
      <w:numFmt w:val="bullet"/>
      <w:lvlText w:val="•"/>
      <w:lvlJc w:val="left"/>
      <w:pPr>
        <w:ind w:left="5786" w:hanging="442"/>
      </w:pPr>
      <w:rPr>
        <w:rFonts w:hint="default"/>
        <w:lang w:val="ru-RU" w:eastAsia="ru-RU" w:bidi="ru-RU"/>
      </w:rPr>
    </w:lvl>
    <w:lvl w:ilvl="7">
      <w:numFmt w:val="bullet"/>
      <w:lvlText w:val="•"/>
      <w:lvlJc w:val="left"/>
      <w:pPr>
        <w:ind w:left="6747" w:hanging="442"/>
      </w:pPr>
      <w:rPr>
        <w:rFonts w:hint="default"/>
        <w:lang w:val="ru-RU" w:eastAsia="ru-RU" w:bidi="ru-RU"/>
      </w:rPr>
    </w:lvl>
    <w:lvl w:ilvl="8">
      <w:numFmt w:val="bullet"/>
      <w:lvlText w:val="•"/>
      <w:lvlJc w:val="left"/>
      <w:pPr>
        <w:ind w:left="7708" w:hanging="442"/>
      </w:pPr>
      <w:rPr>
        <w:rFonts w:hint="default"/>
        <w:lang w:val="ru-RU" w:eastAsia="ru-RU" w:bidi="ru-RU"/>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6760E7"/>
    <w:rsid w:val="00370F80"/>
    <w:rsid w:val="006760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3642F"/>
  <w15:docId w15:val="{88609AA4-4296-4005-9160-6DBA7425E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6A3C90"/>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0">
    <w:name w:val="Table Normal_0"/>
    <w:uiPriority w:val="2"/>
    <w:semiHidden/>
    <w:unhideWhenUsed/>
    <w:qFormat/>
    <w:rsid w:val="006A3C90"/>
    <w:tblPr>
      <w:tblInd w:w="0" w:type="dxa"/>
      <w:tblCellMar>
        <w:top w:w="0" w:type="dxa"/>
        <w:left w:w="0" w:type="dxa"/>
        <w:bottom w:w="0" w:type="dxa"/>
        <w:right w:w="0" w:type="dxa"/>
      </w:tblCellMar>
    </w:tblPr>
  </w:style>
  <w:style w:type="paragraph" w:styleId="a3">
    <w:name w:val="Body Text"/>
    <w:basedOn w:val="a"/>
    <w:uiPriority w:val="1"/>
    <w:qFormat/>
    <w:rsid w:val="006A3C90"/>
    <w:rPr>
      <w:b/>
      <w:bCs/>
      <w:sz w:val="24"/>
      <w:szCs w:val="24"/>
    </w:rPr>
  </w:style>
  <w:style w:type="paragraph" w:styleId="a4">
    <w:name w:val="List Paragraph"/>
    <w:basedOn w:val="a"/>
    <w:uiPriority w:val="1"/>
    <w:qFormat/>
    <w:rsid w:val="006A3C90"/>
  </w:style>
  <w:style w:type="paragraph" w:customStyle="1" w:styleId="TableParagraph">
    <w:name w:val="Table Paragraph"/>
    <w:basedOn w:val="a"/>
    <w:uiPriority w:val="1"/>
    <w:qFormat/>
    <w:rsid w:val="006A3C90"/>
    <w:pPr>
      <w:ind w:left="167"/>
    </w:pPr>
  </w:style>
  <w:style w:type="paragraph" w:styleId="a5">
    <w:name w:val="header"/>
    <w:basedOn w:val="a"/>
    <w:link w:val="a6"/>
    <w:uiPriority w:val="99"/>
    <w:semiHidden/>
    <w:unhideWhenUsed/>
    <w:rsid w:val="00FD521C"/>
    <w:pPr>
      <w:tabs>
        <w:tab w:val="center" w:pos="4677"/>
        <w:tab w:val="right" w:pos="9355"/>
      </w:tabs>
    </w:pPr>
  </w:style>
  <w:style w:type="character" w:customStyle="1" w:styleId="a6">
    <w:name w:val="Верхний колонтитул Знак"/>
    <w:basedOn w:val="a0"/>
    <w:link w:val="a5"/>
    <w:uiPriority w:val="99"/>
    <w:semiHidden/>
    <w:rsid w:val="00FD521C"/>
    <w:rPr>
      <w:rFonts w:ascii="Times New Roman" w:eastAsia="Times New Roman" w:hAnsi="Times New Roman" w:cs="Times New Roman"/>
      <w:lang w:val="ru-RU" w:eastAsia="ru-RU" w:bidi="ru-RU"/>
    </w:rPr>
  </w:style>
  <w:style w:type="paragraph" w:styleId="a7">
    <w:name w:val="footer"/>
    <w:basedOn w:val="a"/>
    <w:link w:val="a8"/>
    <w:uiPriority w:val="99"/>
    <w:semiHidden/>
    <w:unhideWhenUsed/>
    <w:rsid w:val="00FD521C"/>
    <w:pPr>
      <w:tabs>
        <w:tab w:val="center" w:pos="4677"/>
        <w:tab w:val="right" w:pos="9355"/>
      </w:tabs>
    </w:pPr>
  </w:style>
  <w:style w:type="character" w:customStyle="1" w:styleId="a8">
    <w:name w:val="Нижний колонтитул Знак"/>
    <w:basedOn w:val="a0"/>
    <w:link w:val="a7"/>
    <w:uiPriority w:val="99"/>
    <w:semiHidden/>
    <w:rsid w:val="00FD521C"/>
    <w:rPr>
      <w:rFonts w:ascii="Times New Roman" w:eastAsia="Times New Roman" w:hAnsi="Times New Roman" w:cs="Times New Roman"/>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e-disclosure.ru/portal/company.aspx?id=11999" TargetMode="External"/><Relationship Id="rId3" Type="http://schemas.openxmlformats.org/officeDocument/2006/relationships/settings" Target="settings.xml"/><Relationship Id="rId7" Type="http://schemas.openxmlformats.org/officeDocument/2006/relationships/hyperlink" Target="http://www.mrsk-yuga.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disclosure.ru/portal/company.aspx?id=119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1667</Words>
  <Characters>9508</Characters>
  <Application>Microsoft Office Word</Application>
  <DocSecurity>0</DocSecurity>
  <Lines>79</Lines>
  <Paragraphs>22</Paragraphs>
  <ScaleCrop>false</ScaleCrop>
  <Company/>
  <LinksUpToDate>false</LinksUpToDate>
  <CharactersWithSpaces>11153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Сообщение о существенном факте</dc:title>
  <dc:creator>ConsultantPlus</dc:creator>
  <cp:lastModifiedBy>Елизавета Пантина</cp:lastModifiedBy>
  <cp:revision>5</cp:revision>
  <dcterms:created xsi:type="dcterms:W3CDTF">2019-12-29T09:15:00Z</dcterms:created>
  <dcterms:modified xsi:type="dcterms:W3CDTF">2020-01-20T13:33:00Z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2019-03-26T00:00:00Z</vt:filetime>
  </property>
  <property fmtid="{D5CDD505-2E9C-101B-9397-08002B2CF9AE}" pid="3" name="Creator">
    <vt:lpwstr>Microsoft® Word 2016</vt:lpwstr>
  </property>
  <property fmtid="{D5CDD505-2E9C-101B-9397-08002B2CF9AE}" pid="4" name="LastSaved">
    <vt:filetime>2019-12-29T00:00:00Z</vt:filetime>
  </property>
</Properties>
</file>